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32AF49">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jc w:val="both"/>
        <w:textAlignment w:val="auto"/>
        <w:rPr>
          <w:rFonts w:ascii="Times New Roman" w:hAnsi="Times New Roman" w:eastAsia="微软雅黑" w:cs="Times New Roman"/>
          <w:sz w:val="40"/>
          <w:szCs w:val="40"/>
        </w:rPr>
      </w:pPr>
      <w:r>
        <w:rPr>
          <w:rFonts w:hint="eastAsia" w:ascii="仿宋" w:hAnsi="仿宋" w:eastAsia="仿宋" w:cs="仿宋"/>
          <w:b/>
          <w:bCs/>
          <w:sz w:val="40"/>
          <w:szCs w:val="40"/>
          <w:lang w:val="en-US" w:eastAsia="zh-CN"/>
        </w:rPr>
        <w:t>阜阳城建佰材商贸有限公司窗户、栏杆委托加工及安装服务（OEM）项目合作商入库评价打分表</w:t>
      </w:r>
    </w:p>
    <w:tbl>
      <w:tblPr>
        <w:tblStyle w:val="13"/>
        <w:tblW w:w="5696" w:type="pct"/>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108" w:type="dxa"/>
          <w:bottom w:w="0" w:type="dxa"/>
          <w:right w:w="108" w:type="dxa"/>
        </w:tblCellMar>
      </w:tblPr>
      <w:tblGrid>
        <w:gridCol w:w="976"/>
        <w:gridCol w:w="721"/>
        <w:gridCol w:w="2029"/>
        <w:gridCol w:w="3605"/>
        <w:gridCol w:w="1205"/>
        <w:gridCol w:w="832"/>
        <w:gridCol w:w="955"/>
      </w:tblGrid>
      <w:tr w14:paraId="286B080D">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449" w:hRule="atLeast"/>
          <w:jc w:val="center"/>
        </w:trPr>
        <w:tc>
          <w:tcPr>
            <w:tcW w:w="1804" w:type="pct"/>
            <w:gridSpan w:val="3"/>
            <w:tcBorders>
              <w:top w:val="single" w:color="auto" w:sz="4" w:space="0"/>
              <w:left w:val="single" w:color="auto" w:sz="4" w:space="0"/>
              <w:bottom w:val="single" w:color="auto" w:sz="4" w:space="0"/>
              <w:right w:val="single" w:color="auto" w:sz="4" w:space="0"/>
            </w:tcBorders>
            <w:vAlign w:val="center"/>
          </w:tcPr>
          <w:p w14:paraId="66D71A29">
            <w:pPr>
              <w:spacing w:line="240" w:lineRule="exact"/>
              <w:jc w:val="center"/>
              <w:rPr>
                <w:rFonts w:ascii="宋体" w:hAnsi="宋体" w:eastAsia="宋体" w:cs="Times New Roman"/>
                <w:sz w:val="24"/>
              </w:rPr>
            </w:pPr>
            <w:r>
              <w:rPr>
                <w:rFonts w:hint="eastAsia" w:ascii="宋体" w:hAnsi="宋体" w:eastAsia="宋体" w:cs="Times New Roman"/>
                <w:sz w:val="24"/>
                <w:lang w:val="en-US" w:eastAsia="zh-CN"/>
              </w:rPr>
              <w:t>申请单位</w:t>
            </w:r>
            <w:r>
              <w:rPr>
                <w:rFonts w:hint="eastAsia" w:ascii="宋体" w:hAnsi="宋体" w:eastAsia="宋体" w:cs="Times New Roman"/>
                <w:sz w:val="24"/>
              </w:rPr>
              <w:t>名称</w:t>
            </w:r>
          </w:p>
        </w:tc>
        <w:tc>
          <w:tcPr>
            <w:tcW w:w="3195" w:type="pct"/>
            <w:gridSpan w:val="4"/>
            <w:tcBorders>
              <w:top w:val="single" w:color="auto" w:sz="4" w:space="0"/>
              <w:left w:val="single" w:color="auto" w:sz="4" w:space="0"/>
              <w:bottom w:val="single" w:color="auto" w:sz="4" w:space="0"/>
              <w:right w:val="single" w:color="auto" w:sz="4" w:space="0"/>
            </w:tcBorders>
            <w:vAlign w:val="center"/>
          </w:tcPr>
          <w:p w14:paraId="7DEFCF54">
            <w:pPr>
              <w:spacing w:line="240" w:lineRule="exact"/>
              <w:jc w:val="center"/>
              <w:rPr>
                <w:rFonts w:ascii="宋体" w:hAnsi="宋体" w:eastAsia="宋体" w:cs="Times New Roman"/>
                <w:sz w:val="24"/>
              </w:rPr>
            </w:pPr>
          </w:p>
        </w:tc>
      </w:tr>
      <w:tr w14:paraId="63CD28DC">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464" w:hRule="atLeast"/>
          <w:jc w:val="center"/>
        </w:trPr>
        <w:tc>
          <w:tcPr>
            <w:tcW w:w="1804" w:type="pct"/>
            <w:gridSpan w:val="3"/>
            <w:tcBorders>
              <w:top w:val="single" w:color="auto" w:sz="4" w:space="0"/>
              <w:left w:val="single" w:color="auto" w:sz="4" w:space="0"/>
              <w:bottom w:val="single" w:color="auto" w:sz="4" w:space="0"/>
              <w:right w:val="single" w:color="auto" w:sz="4" w:space="0"/>
            </w:tcBorders>
            <w:vAlign w:val="center"/>
          </w:tcPr>
          <w:p w14:paraId="72F9A0A4">
            <w:pPr>
              <w:spacing w:line="240" w:lineRule="exact"/>
              <w:jc w:val="center"/>
              <w:rPr>
                <w:rFonts w:ascii="宋体" w:hAnsi="宋体" w:eastAsia="宋体" w:cs="Times New Roman"/>
                <w:sz w:val="24"/>
              </w:rPr>
            </w:pPr>
            <w:r>
              <w:rPr>
                <w:rFonts w:hint="eastAsia" w:ascii="宋体" w:hAnsi="宋体" w:eastAsia="宋体" w:cs="Times New Roman"/>
                <w:sz w:val="24"/>
              </w:rPr>
              <w:t>申请</w:t>
            </w:r>
            <w:r>
              <w:rPr>
                <w:rFonts w:hint="eastAsia" w:ascii="宋体" w:hAnsi="宋体" w:eastAsia="宋体" w:cs="Times New Roman"/>
                <w:sz w:val="24"/>
                <w:lang w:eastAsia="zh-CN"/>
              </w:rPr>
              <w:t>合作商</w:t>
            </w:r>
            <w:r>
              <w:rPr>
                <w:rFonts w:hint="eastAsia" w:ascii="宋体" w:hAnsi="宋体" w:eastAsia="宋体" w:cs="Times New Roman"/>
                <w:sz w:val="24"/>
              </w:rPr>
              <w:t>库类别</w:t>
            </w:r>
          </w:p>
        </w:tc>
        <w:tc>
          <w:tcPr>
            <w:tcW w:w="3195" w:type="pct"/>
            <w:gridSpan w:val="4"/>
            <w:tcBorders>
              <w:top w:val="single" w:color="auto" w:sz="4" w:space="0"/>
              <w:left w:val="single" w:color="auto" w:sz="4" w:space="0"/>
              <w:bottom w:val="single" w:color="auto" w:sz="4" w:space="0"/>
              <w:right w:val="single" w:color="auto" w:sz="4" w:space="0"/>
            </w:tcBorders>
            <w:vAlign w:val="center"/>
          </w:tcPr>
          <w:p w14:paraId="40AA907F">
            <w:pPr>
              <w:spacing w:line="240" w:lineRule="exact"/>
              <w:jc w:val="center"/>
              <w:rPr>
                <w:rFonts w:hint="default" w:ascii="宋体" w:hAnsi="宋体" w:eastAsia="宋体" w:cs="Times New Roman"/>
                <w:sz w:val="24"/>
                <w:lang w:val="en-US" w:eastAsia="zh-CN"/>
              </w:rPr>
            </w:pPr>
            <w:r>
              <w:rPr>
                <w:rFonts w:hint="eastAsia" w:ascii="宋体" w:hAnsi="宋体" w:eastAsia="宋体" w:cs="Times New Roman"/>
                <w:sz w:val="24"/>
                <w:lang w:val="en-US" w:eastAsia="zh-CN"/>
              </w:rPr>
              <w:t>窗户、栏杆委托加工及安装服务（OEM）项目合作商</w:t>
            </w:r>
          </w:p>
        </w:tc>
      </w:tr>
      <w:tr w14:paraId="1B65AAD6">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804" w:type="pct"/>
            <w:gridSpan w:val="3"/>
            <w:tcBorders>
              <w:top w:val="single" w:color="auto" w:sz="4" w:space="0"/>
              <w:left w:val="single" w:color="auto" w:sz="4" w:space="0"/>
              <w:bottom w:val="single" w:color="auto" w:sz="4" w:space="0"/>
              <w:right w:val="single" w:color="auto" w:sz="4" w:space="0"/>
            </w:tcBorders>
            <w:vAlign w:val="center"/>
          </w:tcPr>
          <w:p w14:paraId="0816201E">
            <w:pPr>
              <w:spacing w:line="240" w:lineRule="exact"/>
              <w:jc w:val="center"/>
              <w:rPr>
                <w:rFonts w:ascii="宋体" w:hAnsi="宋体" w:eastAsia="宋体" w:cs="Times New Roman"/>
                <w:sz w:val="24"/>
              </w:rPr>
            </w:pPr>
            <w:r>
              <w:rPr>
                <w:rFonts w:hint="eastAsia" w:ascii="宋体" w:hAnsi="宋体" w:eastAsia="宋体" w:cs="Times New Roman"/>
                <w:sz w:val="24"/>
              </w:rPr>
              <w:t>评价时间</w:t>
            </w:r>
          </w:p>
        </w:tc>
        <w:tc>
          <w:tcPr>
            <w:tcW w:w="3195" w:type="pct"/>
            <w:gridSpan w:val="4"/>
            <w:tcBorders>
              <w:top w:val="single" w:color="auto" w:sz="4" w:space="0"/>
              <w:left w:val="single" w:color="auto" w:sz="4" w:space="0"/>
              <w:bottom w:val="single" w:color="auto" w:sz="4" w:space="0"/>
              <w:right w:val="single" w:color="auto" w:sz="4" w:space="0"/>
            </w:tcBorders>
            <w:vAlign w:val="center"/>
          </w:tcPr>
          <w:p w14:paraId="4317B099">
            <w:pPr>
              <w:spacing w:line="240" w:lineRule="exact"/>
              <w:jc w:val="center"/>
              <w:rPr>
                <w:rFonts w:ascii="宋体" w:hAnsi="宋体" w:eastAsia="宋体" w:cs="Times New Roman"/>
                <w:sz w:val="24"/>
              </w:rPr>
            </w:pPr>
          </w:p>
        </w:tc>
      </w:tr>
      <w:tr w14:paraId="6AAB6C0B">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822" w:hRule="atLeast"/>
          <w:jc w:val="center"/>
        </w:trPr>
        <w:tc>
          <w:tcPr>
            <w:tcW w:w="1804" w:type="pct"/>
            <w:gridSpan w:val="3"/>
            <w:tcBorders>
              <w:top w:val="single" w:color="auto" w:sz="4" w:space="0"/>
              <w:left w:val="single" w:color="auto" w:sz="4" w:space="0"/>
              <w:bottom w:val="single" w:color="auto" w:sz="4" w:space="0"/>
              <w:right w:val="single" w:color="auto" w:sz="4" w:space="0"/>
            </w:tcBorders>
            <w:vAlign w:val="center"/>
          </w:tcPr>
          <w:p w14:paraId="40DE8400">
            <w:pPr>
              <w:jc w:val="center"/>
              <w:rPr>
                <w:rFonts w:ascii="宋体" w:hAnsi="宋体" w:eastAsia="宋体" w:cs="Times New Roman"/>
                <w:sz w:val="24"/>
              </w:rPr>
            </w:pPr>
            <w:r>
              <w:rPr>
                <w:rFonts w:hint="eastAsia" w:ascii="宋体" w:hAnsi="宋体" w:eastAsia="宋体" w:cs="Times New Roman"/>
                <w:sz w:val="24"/>
              </w:rPr>
              <w:t>服务范围</w:t>
            </w:r>
          </w:p>
        </w:tc>
        <w:tc>
          <w:tcPr>
            <w:tcW w:w="3195" w:type="pct"/>
            <w:gridSpan w:val="4"/>
            <w:tcBorders>
              <w:top w:val="single" w:color="auto" w:sz="4" w:space="0"/>
              <w:left w:val="single" w:color="auto" w:sz="4" w:space="0"/>
              <w:bottom w:val="single" w:color="auto" w:sz="4" w:space="0"/>
              <w:right w:val="single" w:color="auto" w:sz="4" w:space="0"/>
            </w:tcBorders>
            <w:vAlign w:val="center"/>
          </w:tcPr>
          <w:p w14:paraId="43AC45CC">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宋体" w:hAnsi="宋体" w:eastAsia="宋体" w:cs="Times New Roman"/>
                <w:sz w:val="24"/>
                <w:lang w:val="en-US" w:eastAsia="zh-CN"/>
              </w:rPr>
            </w:pPr>
            <w:r>
              <w:rPr>
                <w:rFonts w:hint="default" w:ascii="宋体" w:hAnsi="宋体" w:eastAsia="宋体" w:cs="宋体"/>
                <w:i w:val="0"/>
                <w:iCs w:val="0"/>
                <w:caps w:val="0"/>
                <w:color w:val="auto"/>
                <w:spacing w:val="0"/>
                <w:sz w:val="24"/>
                <w:szCs w:val="24"/>
                <w:shd w:val="clear" w:color="auto" w:fill="FFFFFF"/>
              </w:rPr>
              <w:t>负</w:t>
            </w:r>
            <w:r>
              <w:rPr>
                <w:rFonts w:hint="default" w:ascii="宋体" w:hAnsi="宋体" w:eastAsia="宋体" w:cs="宋体"/>
                <w:i w:val="0"/>
                <w:iCs w:val="0"/>
                <w:caps w:val="0"/>
                <w:color w:val="auto"/>
                <w:spacing w:val="0"/>
                <w:kern w:val="0"/>
                <w:sz w:val="24"/>
                <w:szCs w:val="24"/>
                <w:shd w:val="clear" w:color="auto" w:fill="FFFFFF"/>
                <w:lang w:val="zh-CN" w:eastAsia="zh-CN" w:bidi="zh-CN"/>
              </w:rPr>
              <w:t>责</w:t>
            </w:r>
            <w:r>
              <w:rPr>
                <w:rFonts w:hint="eastAsia" w:ascii="宋体" w:hAnsi="宋体" w:eastAsia="宋体" w:cs="宋体"/>
                <w:i w:val="0"/>
                <w:iCs w:val="0"/>
                <w:caps w:val="0"/>
                <w:color w:val="auto"/>
                <w:spacing w:val="0"/>
                <w:kern w:val="0"/>
                <w:sz w:val="24"/>
                <w:szCs w:val="24"/>
                <w:shd w:val="clear" w:color="auto" w:fill="FFFFFF"/>
                <w:lang w:val="en-US" w:eastAsia="zh-CN" w:bidi="zh-CN"/>
              </w:rPr>
              <w:t>窗户、栏杆的</w:t>
            </w:r>
            <w:r>
              <w:rPr>
                <w:rFonts w:hint="default" w:ascii="宋体" w:hAnsi="宋体" w:eastAsia="宋体" w:cs="宋体"/>
                <w:i w:val="0"/>
                <w:iCs w:val="0"/>
                <w:caps w:val="0"/>
                <w:color w:val="auto"/>
                <w:spacing w:val="0"/>
                <w:kern w:val="0"/>
                <w:sz w:val="24"/>
                <w:szCs w:val="24"/>
                <w:shd w:val="clear" w:color="auto" w:fill="FFFFFF"/>
                <w:lang w:val="zh-CN" w:eastAsia="zh-CN" w:bidi="zh-CN"/>
              </w:rPr>
              <w:t>深化设计、</w:t>
            </w:r>
            <w:r>
              <w:rPr>
                <w:rFonts w:hint="eastAsia" w:ascii="宋体" w:hAnsi="宋体" w:eastAsia="宋体" w:cs="宋体"/>
                <w:i w:val="0"/>
                <w:iCs w:val="0"/>
                <w:caps w:val="0"/>
                <w:color w:val="auto"/>
                <w:spacing w:val="0"/>
                <w:kern w:val="0"/>
                <w:sz w:val="24"/>
                <w:szCs w:val="24"/>
                <w:shd w:val="clear" w:color="auto" w:fill="FFFFFF"/>
                <w:lang w:val="en-US" w:eastAsia="zh-CN" w:bidi="zh-CN"/>
              </w:rPr>
              <w:t>零星</w:t>
            </w:r>
            <w:r>
              <w:rPr>
                <w:rFonts w:hint="default" w:ascii="宋体" w:hAnsi="宋体" w:eastAsia="宋体" w:cs="宋体"/>
                <w:i w:val="0"/>
                <w:iCs w:val="0"/>
                <w:caps w:val="0"/>
                <w:color w:val="auto"/>
                <w:spacing w:val="0"/>
                <w:kern w:val="0"/>
                <w:sz w:val="24"/>
                <w:szCs w:val="24"/>
                <w:shd w:val="clear" w:color="auto" w:fill="FFFFFF"/>
                <w:lang w:val="zh-CN" w:eastAsia="zh-CN" w:bidi="zh-CN"/>
              </w:rPr>
              <w:t>辅材采购、加工制作、运输、现场安装调试及整体售后服务。</w:t>
            </w:r>
          </w:p>
        </w:tc>
      </w:tr>
      <w:tr w14:paraId="342DE78D">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433" w:hRule="atLeast"/>
          <w:jc w:val="center"/>
        </w:trPr>
        <w:tc>
          <w:tcPr>
            <w:tcW w:w="472" w:type="pc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00E2072">
            <w:pPr>
              <w:snapToGrid w:val="0"/>
              <w:jc w:val="center"/>
              <w:rPr>
                <w:rFonts w:ascii="宋体" w:hAnsi="宋体" w:eastAsia="宋体" w:cs="Times New Roman"/>
                <w:b/>
                <w:sz w:val="24"/>
              </w:rPr>
            </w:pPr>
            <w:r>
              <w:rPr>
                <w:rFonts w:hint="eastAsia" w:ascii="宋体" w:hAnsi="宋体" w:eastAsia="宋体" w:cs="Times New Roman"/>
                <w:b/>
                <w:sz w:val="24"/>
              </w:rPr>
              <w:t>阶段</w:t>
            </w:r>
          </w:p>
        </w:tc>
        <w:tc>
          <w:tcPr>
            <w:tcW w:w="349" w:type="pc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0C7B04B">
            <w:pPr>
              <w:snapToGrid w:val="0"/>
              <w:jc w:val="center"/>
              <w:rPr>
                <w:rFonts w:ascii="宋体" w:hAnsi="宋体" w:eastAsia="宋体" w:cs="Times New Roman"/>
                <w:b/>
                <w:sz w:val="24"/>
              </w:rPr>
            </w:pPr>
            <w:r>
              <w:rPr>
                <w:rFonts w:hint="eastAsia" w:ascii="宋体" w:hAnsi="宋体" w:eastAsia="宋体" w:cs="Times New Roman"/>
                <w:b/>
                <w:sz w:val="24"/>
              </w:rPr>
              <w:t>部门</w:t>
            </w:r>
          </w:p>
        </w:tc>
        <w:tc>
          <w:tcPr>
            <w:tcW w:w="982" w:type="pc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0226919">
            <w:pPr>
              <w:snapToGrid w:val="0"/>
              <w:jc w:val="center"/>
              <w:rPr>
                <w:rFonts w:ascii="宋体" w:hAnsi="宋体" w:eastAsia="宋体" w:cs="Times New Roman"/>
                <w:b/>
                <w:sz w:val="24"/>
              </w:rPr>
            </w:pPr>
            <w:r>
              <w:rPr>
                <w:rFonts w:hint="eastAsia" w:ascii="宋体" w:hAnsi="宋体" w:eastAsia="宋体" w:cs="Times New Roman"/>
                <w:b/>
                <w:sz w:val="24"/>
              </w:rPr>
              <w:t>内容</w:t>
            </w:r>
          </w:p>
        </w:tc>
        <w:tc>
          <w:tcPr>
            <w:tcW w:w="1746" w:type="pc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3406911">
            <w:pPr>
              <w:snapToGrid w:val="0"/>
              <w:jc w:val="center"/>
              <w:rPr>
                <w:rFonts w:ascii="宋体" w:hAnsi="宋体" w:eastAsia="宋体" w:cs="Times New Roman"/>
                <w:b/>
                <w:sz w:val="24"/>
              </w:rPr>
            </w:pPr>
            <w:r>
              <w:rPr>
                <w:rFonts w:hint="eastAsia" w:ascii="宋体" w:hAnsi="宋体" w:eastAsia="宋体" w:cs="Times New Roman"/>
                <w:b/>
                <w:sz w:val="24"/>
              </w:rPr>
              <w:t>评价标准</w:t>
            </w:r>
          </w:p>
        </w:tc>
        <w:tc>
          <w:tcPr>
            <w:tcW w:w="583" w:type="pc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6BB8FC4">
            <w:pPr>
              <w:snapToGrid w:val="0"/>
              <w:jc w:val="center"/>
              <w:rPr>
                <w:rFonts w:ascii="宋体" w:hAnsi="宋体" w:eastAsia="宋体" w:cs="Times New Roman"/>
                <w:b/>
                <w:sz w:val="24"/>
              </w:rPr>
            </w:pPr>
            <w:r>
              <w:rPr>
                <w:rFonts w:hint="eastAsia" w:ascii="宋体" w:hAnsi="宋体" w:eastAsia="宋体" w:cs="Times New Roman"/>
                <w:b/>
                <w:sz w:val="24"/>
              </w:rPr>
              <w:t>情况描述</w:t>
            </w:r>
          </w:p>
        </w:tc>
        <w:tc>
          <w:tcPr>
            <w:tcW w:w="402" w:type="pc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CC54561">
            <w:pPr>
              <w:snapToGrid w:val="0"/>
              <w:jc w:val="center"/>
              <w:rPr>
                <w:rFonts w:ascii="宋体" w:hAnsi="宋体" w:eastAsia="宋体" w:cs="Times New Roman"/>
                <w:b/>
                <w:sz w:val="24"/>
              </w:rPr>
            </w:pPr>
            <w:r>
              <w:rPr>
                <w:rFonts w:hint="eastAsia" w:ascii="宋体" w:hAnsi="宋体" w:eastAsia="宋体" w:cs="Times New Roman"/>
                <w:b/>
                <w:sz w:val="24"/>
              </w:rPr>
              <w:t>得分</w:t>
            </w:r>
          </w:p>
        </w:tc>
        <w:tc>
          <w:tcPr>
            <w:tcW w:w="462" w:type="pc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E63F21D">
            <w:pPr>
              <w:snapToGrid w:val="0"/>
              <w:jc w:val="center"/>
              <w:rPr>
                <w:rFonts w:ascii="宋体" w:hAnsi="宋体" w:eastAsia="宋体" w:cs="Times New Roman"/>
                <w:b/>
                <w:sz w:val="24"/>
              </w:rPr>
            </w:pPr>
            <w:r>
              <w:rPr>
                <w:rFonts w:hint="eastAsia" w:ascii="宋体" w:hAnsi="宋体" w:eastAsia="宋体" w:cs="Times New Roman"/>
                <w:b/>
                <w:sz w:val="24"/>
              </w:rPr>
              <w:t>评分</w:t>
            </w:r>
          </w:p>
        </w:tc>
      </w:tr>
      <w:tr w14:paraId="722950B3">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1098" w:hRule="atLeast"/>
          <w:jc w:val="center"/>
        </w:trPr>
        <w:tc>
          <w:tcPr>
            <w:tcW w:w="472" w:type="pct"/>
            <w:vMerge w:val="restart"/>
            <w:tcBorders>
              <w:top w:val="single" w:color="auto" w:sz="4" w:space="0"/>
              <w:left w:val="single" w:color="auto" w:sz="4" w:space="0"/>
              <w:bottom w:val="single" w:color="auto" w:sz="4" w:space="0"/>
              <w:right w:val="single" w:color="auto" w:sz="4" w:space="0"/>
            </w:tcBorders>
            <w:vAlign w:val="center"/>
          </w:tcPr>
          <w:p w14:paraId="77D8D0E3">
            <w:pPr>
              <w:snapToGrid w:val="0"/>
              <w:jc w:val="center"/>
              <w:rPr>
                <w:rFonts w:ascii="宋体" w:hAnsi="宋体" w:eastAsia="宋体" w:cs="Times New Roman"/>
                <w:b/>
                <w:sz w:val="24"/>
              </w:rPr>
            </w:pPr>
            <w:r>
              <w:rPr>
                <w:rFonts w:hint="eastAsia" w:ascii="宋体" w:hAnsi="宋体" w:eastAsia="宋体" w:cs="Times New Roman"/>
                <w:b/>
                <w:sz w:val="24"/>
              </w:rPr>
              <w:t>考察评审阶段</w:t>
            </w:r>
          </w:p>
        </w:tc>
        <w:tc>
          <w:tcPr>
            <w:tcW w:w="349" w:type="pct"/>
            <w:vMerge w:val="restart"/>
            <w:tcBorders>
              <w:top w:val="single" w:color="auto" w:sz="4" w:space="0"/>
              <w:left w:val="single" w:color="auto" w:sz="4" w:space="0"/>
              <w:bottom w:val="single" w:color="auto" w:sz="4" w:space="0"/>
              <w:right w:val="single" w:color="auto" w:sz="4" w:space="0"/>
            </w:tcBorders>
            <w:vAlign w:val="center"/>
          </w:tcPr>
          <w:p w14:paraId="5B0190FF">
            <w:pPr>
              <w:snapToGrid w:val="0"/>
              <w:jc w:val="center"/>
              <w:rPr>
                <w:rFonts w:ascii="宋体" w:hAnsi="宋体" w:eastAsia="宋体" w:cs="Times New Roman"/>
                <w:sz w:val="24"/>
              </w:rPr>
            </w:pPr>
            <w:r>
              <w:rPr>
                <w:rFonts w:hint="eastAsia" w:ascii="宋体" w:hAnsi="宋体" w:eastAsia="宋体" w:cs="Times New Roman"/>
                <w:sz w:val="24"/>
              </w:rPr>
              <w:t>调查评价考察组</w:t>
            </w:r>
          </w:p>
        </w:tc>
        <w:tc>
          <w:tcPr>
            <w:tcW w:w="982" w:type="pct"/>
            <w:tcBorders>
              <w:top w:val="single" w:color="auto" w:sz="4" w:space="0"/>
              <w:left w:val="single" w:color="auto" w:sz="4" w:space="0"/>
              <w:bottom w:val="single" w:color="auto" w:sz="4" w:space="0"/>
              <w:right w:val="single" w:color="auto" w:sz="4" w:space="0"/>
            </w:tcBorders>
            <w:vAlign w:val="center"/>
          </w:tcPr>
          <w:p w14:paraId="553E0AE1">
            <w:pPr>
              <w:snapToGrid w:val="0"/>
              <w:jc w:val="center"/>
              <w:rPr>
                <w:rFonts w:hint="eastAsia" w:eastAsia="宋体" w:asciiTheme="minorEastAsia" w:hAnsiTheme="minorEastAsia"/>
                <w:sz w:val="24"/>
                <w:szCs w:val="24"/>
                <w:lang w:val="en-US" w:eastAsia="zh-CN"/>
              </w:rPr>
            </w:pPr>
            <w:r>
              <w:rPr>
                <w:rFonts w:hint="eastAsia" w:eastAsia="宋体" w:asciiTheme="minorEastAsia" w:hAnsiTheme="minorEastAsia"/>
                <w:sz w:val="24"/>
                <w:szCs w:val="24"/>
                <w:lang w:val="en-US" w:eastAsia="zh-CN"/>
              </w:rPr>
              <w:t>对资料的符合性检查、合法性审查</w:t>
            </w:r>
          </w:p>
        </w:tc>
        <w:tc>
          <w:tcPr>
            <w:tcW w:w="1746" w:type="pct"/>
            <w:tcBorders>
              <w:top w:val="single" w:color="auto" w:sz="4" w:space="0"/>
              <w:left w:val="single" w:color="auto" w:sz="4" w:space="0"/>
              <w:bottom w:val="single" w:color="auto" w:sz="4" w:space="0"/>
              <w:right w:val="single" w:color="auto" w:sz="4" w:space="0"/>
            </w:tcBorders>
            <w:vAlign w:val="center"/>
          </w:tcPr>
          <w:p w14:paraId="35D5E722">
            <w:pPr>
              <w:snapToGrid w:val="0"/>
              <w:jc w:val="left"/>
              <w:rPr>
                <w:rFonts w:hint="default" w:ascii="宋体" w:hAnsi="宋体" w:cs="Times New Roman" w:eastAsiaTheme="minorEastAsia"/>
                <w:sz w:val="18"/>
                <w:szCs w:val="18"/>
                <w:lang w:val="en-US" w:eastAsia="zh-CN"/>
              </w:rPr>
            </w:pPr>
            <w:r>
              <w:rPr>
                <w:rFonts w:hint="eastAsia" w:asciiTheme="minorEastAsia" w:hAnsiTheme="minorEastAsia"/>
                <w:sz w:val="18"/>
                <w:szCs w:val="18"/>
              </w:rPr>
              <w:t>按格式提供资料，营业执照、资质、安许、业绩，承诺函</w:t>
            </w:r>
            <w:r>
              <w:rPr>
                <w:rFonts w:hint="eastAsia" w:asciiTheme="minorEastAsia" w:hAnsiTheme="minorEastAsia"/>
                <w:sz w:val="18"/>
                <w:szCs w:val="18"/>
                <w:lang w:eastAsia="zh-CN"/>
              </w:rPr>
              <w:t>，</w:t>
            </w:r>
            <w:r>
              <w:rPr>
                <w:rFonts w:hint="eastAsia" w:asciiTheme="minorEastAsia" w:hAnsiTheme="minorEastAsia"/>
                <w:sz w:val="18"/>
                <w:szCs w:val="18"/>
              </w:rPr>
              <w:t>通过第三方平台查看被考察单位的诉讼情况、</w:t>
            </w:r>
            <w:r>
              <w:rPr>
                <w:rFonts w:hint="eastAsia" w:asciiTheme="minorEastAsia" w:hAnsiTheme="minorEastAsia"/>
                <w:sz w:val="18"/>
                <w:szCs w:val="18"/>
                <w:lang w:val="en-US" w:eastAsia="zh-CN"/>
              </w:rPr>
              <w:t>信用状况，</w:t>
            </w:r>
            <w:r>
              <w:rPr>
                <w:rFonts w:hint="eastAsia" w:asciiTheme="minorEastAsia" w:hAnsiTheme="minorEastAsia"/>
                <w:sz w:val="18"/>
                <w:szCs w:val="18"/>
              </w:rPr>
              <w:t>资产权利限制情况</w:t>
            </w:r>
            <w:r>
              <w:rPr>
                <w:rFonts w:hint="eastAsia" w:asciiTheme="minorEastAsia" w:hAnsiTheme="minorEastAsia"/>
                <w:sz w:val="18"/>
                <w:szCs w:val="18"/>
                <w:lang w:val="en-US" w:eastAsia="zh-CN"/>
              </w:rPr>
              <w:t>等</w:t>
            </w:r>
            <w:r>
              <w:rPr>
                <w:rFonts w:hint="eastAsia" w:asciiTheme="minorEastAsia" w:hAnsiTheme="minorEastAsia"/>
                <w:sz w:val="18"/>
                <w:szCs w:val="18"/>
              </w:rPr>
              <w:t>；</w:t>
            </w:r>
            <w:r>
              <w:rPr>
                <w:rFonts w:ascii="Segoe UI" w:hAnsi="Segoe UI" w:eastAsia="Segoe UI" w:cs="Segoe UI"/>
                <w:i w:val="0"/>
                <w:iCs w:val="0"/>
                <w:caps w:val="0"/>
                <w:color w:val="0F1115"/>
                <w:spacing w:val="0"/>
                <w:sz w:val="19"/>
                <w:szCs w:val="19"/>
                <w:shd w:val="clear" w:fill="FFFFFF"/>
              </w:rPr>
              <w:t>申请单位如出现下列任何一种情况，直接判定为不合格，不得进入后续评分环节</w:t>
            </w:r>
            <w:r>
              <w:rPr>
                <w:rFonts w:hint="eastAsia" w:ascii="Segoe UI" w:hAnsi="Segoe UI" w:eastAsia="宋体" w:cs="Segoe UI"/>
                <w:i w:val="0"/>
                <w:iCs w:val="0"/>
                <w:caps w:val="0"/>
                <w:color w:val="0F1115"/>
                <w:spacing w:val="0"/>
                <w:sz w:val="19"/>
                <w:szCs w:val="19"/>
                <w:shd w:val="clear" w:fill="FFFFFF"/>
                <w:lang w:eastAsia="zh-CN"/>
              </w:rPr>
              <w:t>，</w:t>
            </w:r>
            <w:r>
              <w:rPr>
                <w:rFonts w:hint="eastAsia" w:ascii="Segoe UI" w:hAnsi="Segoe UI" w:eastAsia="宋体" w:cs="Segoe UI"/>
                <w:i w:val="0"/>
                <w:iCs w:val="0"/>
                <w:caps w:val="0"/>
                <w:color w:val="0F1115"/>
                <w:spacing w:val="0"/>
                <w:sz w:val="19"/>
                <w:szCs w:val="19"/>
                <w:shd w:val="clear" w:fill="FFFFFF"/>
                <w:lang w:val="en-US" w:eastAsia="zh-CN"/>
              </w:rPr>
              <w:t>详</w:t>
            </w:r>
            <w:r>
              <w:rPr>
                <w:rFonts w:hint="eastAsia" w:asciiTheme="minorEastAsia" w:hAnsiTheme="minorEastAsia"/>
                <w:sz w:val="18"/>
                <w:szCs w:val="18"/>
                <w:lang w:val="en-US" w:eastAsia="zh-CN"/>
              </w:rPr>
              <w:t>见《资格评审记录表》。</w:t>
            </w:r>
          </w:p>
        </w:tc>
        <w:tc>
          <w:tcPr>
            <w:tcW w:w="583" w:type="pct"/>
            <w:tcBorders>
              <w:top w:val="single" w:color="auto" w:sz="4" w:space="0"/>
              <w:left w:val="single" w:color="auto" w:sz="4" w:space="0"/>
              <w:bottom w:val="single" w:color="auto" w:sz="4" w:space="0"/>
              <w:right w:val="single" w:color="auto" w:sz="4" w:space="0"/>
            </w:tcBorders>
            <w:vAlign w:val="center"/>
          </w:tcPr>
          <w:p w14:paraId="75E7D38E">
            <w:pPr>
              <w:snapToGrid w:val="0"/>
              <w:jc w:val="left"/>
              <w:rPr>
                <w:rFonts w:hint="eastAsia" w:asciiTheme="minorEastAsia" w:hAnsiTheme="minorEastAsia" w:eastAsiaTheme="minorEastAsia" w:cstheme="minorBidi"/>
                <w:sz w:val="18"/>
                <w:szCs w:val="18"/>
              </w:rPr>
            </w:pPr>
            <w:r>
              <w:rPr>
                <w:rFonts w:hint="eastAsia" w:asciiTheme="minorEastAsia" w:hAnsiTheme="minorEastAsia" w:eastAsiaTheme="minorEastAsia" w:cstheme="minorBidi"/>
                <w:sz w:val="18"/>
                <w:szCs w:val="18"/>
              </w:rPr>
              <w:t>合  格（ ）</w:t>
            </w:r>
          </w:p>
          <w:p w14:paraId="6BCBAA03">
            <w:pPr>
              <w:snapToGrid w:val="0"/>
              <w:jc w:val="left"/>
              <w:rPr>
                <w:rFonts w:ascii="宋体" w:hAnsi="宋体" w:eastAsia="宋体" w:cs="Times New Roman"/>
                <w:sz w:val="24"/>
                <w:szCs w:val="24"/>
              </w:rPr>
            </w:pPr>
            <w:r>
              <w:rPr>
                <w:rFonts w:hint="eastAsia" w:asciiTheme="minorEastAsia" w:hAnsiTheme="minorEastAsia" w:eastAsiaTheme="minorEastAsia" w:cstheme="minorBidi"/>
                <w:sz w:val="18"/>
                <w:szCs w:val="18"/>
              </w:rPr>
              <w:t>不合格（ ）</w:t>
            </w:r>
          </w:p>
        </w:tc>
        <w:tc>
          <w:tcPr>
            <w:tcW w:w="402" w:type="pct"/>
            <w:tcBorders>
              <w:top w:val="single" w:color="auto" w:sz="4" w:space="0"/>
              <w:left w:val="single" w:color="auto" w:sz="4" w:space="0"/>
              <w:bottom w:val="single" w:color="auto" w:sz="4" w:space="0"/>
              <w:right w:val="single" w:color="auto" w:sz="4" w:space="0"/>
            </w:tcBorders>
            <w:vAlign w:val="center"/>
          </w:tcPr>
          <w:p w14:paraId="1E891730">
            <w:pPr>
              <w:snapToGrid w:val="0"/>
              <w:jc w:val="center"/>
              <w:rPr>
                <w:rFonts w:ascii="宋体" w:hAnsi="宋体" w:eastAsia="宋体" w:cs="Times New Roman"/>
                <w:sz w:val="24"/>
                <w:szCs w:val="24"/>
              </w:rPr>
            </w:pPr>
            <w:r>
              <w:rPr>
                <w:rFonts w:hint="eastAsia" w:ascii="宋体" w:hAnsi="宋体" w:eastAsia="宋体" w:cs="Times New Roman"/>
                <w:sz w:val="24"/>
                <w:szCs w:val="24"/>
              </w:rPr>
              <w:t>--</w:t>
            </w:r>
          </w:p>
        </w:tc>
        <w:tc>
          <w:tcPr>
            <w:tcW w:w="462" w:type="pct"/>
            <w:tcBorders>
              <w:top w:val="single" w:color="auto" w:sz="4" w:space="0"/>
              <w:left w:val="single" w:color="auto" w:sz="4" w:space="0"/>
              <w:bottom w:val="single" w:color="auto" w:sz="4" w:space="0"/>
              <w:right w:val="single" w:color="auto" w:sz="4" w:space="0"/>
            </w:tcBorders>
            <w:vAlign w:val="center"/>
          </w:tcPr>
          <w:p w14:paraId="35607B7C">
            <w:pPr>
              <w:pStyle w:val="12"/>
              <w:rPr>
                <w:sz w:val="24"/>
                <w:szCs w:val="24"/>
              </w:rPr>
            </w:pPr>
          </w:p>
        </w:tc>
      </w:tr>
      <w:tr w14:paraId="0E5A3067">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472" w:type="pct"/>
            <w:vMerge w:val="continue"/>
            <w:tcBorders>
              <w:top w:val="single" w:color="auto" w:sz="4" w:space="0"/>
              <w:left w:val="single" w:color="auto" w:sz="4" w:space="0"/>
              <w:bottom w:val="single" w:color="auto" w:sz="4" w:space="0"/>
              <w:right w:val="single" w:color="auto" w:sz="4" w:space="0"/>
            </w:tcBorders>
            <w:vAlign w:val="center"/>
          </w:tcPr>
          <w:p w14:paraId="74A5D936">
            <w:pPr>
              <w:snapToGrid w:val="0"/>
              <w:rPr>
                <w:rFonts w:ascii="宋体" w:hAnsi="宋体" w:eastAsia="宋体" w:cs="Times New Roman"/>
                <w:sz w:val="24"/>
              </w:rPr>
            </w:pPr>
          </w:p>
        </w:tc>
        <w:tc>
          <w:tcPr>
            <w:tcW w:w="349" w:type="pct"/>
            <w:vMerge w:val="continue"/>
            <w:tcBorders>
              <w:top w:val="single" w:color="auto" w:sz="4" w:space="0"/>
              <w:left w:val="single" w:color="auto" w:sz="4" w:space="0"/>
              <w:bottom w:val="single" w:color="auto" w:sz="4" w:space="0"/>
              <w:right w:val="single" w:color="auto" w:sz="4" w:space="0"/>
            </w:tcBorders>
            <w:vAlign w:val="center"/>
          </w:tcPr>
          <w:p w14:paraId="5562CB34">
            <w:pPr>
              <w:snapToGrid w:val="0"/>
              <w:jc w:val="center"/>
              <w:rPr>
                <w:rFonts w:ascii="宋体" w:hAnsi="宋体" w:eastAsia="宋体" w:cs="Times New Roman"/>
                <w:sz w:val="24"/>
              </w:rPr>
            </w:pPr>
          </w:p>
        </w:tc>
        <w:tc>
          <w:tcPr>
            <w:tcW w:w="982" w:type="pct"/>
            <w:tcBorders>
              <w:top w:val="single" w:color="auto" w:sz="4" w:space="0"/>
              <w:left w:val="single" w:color="auto" w:sz="4" w:space="0"/>
              <w:bottom w:val="single" w:color="auto" w:sz="4" w:space="0"/>
              <w:right w:val="single" w:color="auto" w:sz="4" w:space="0"/>
            </w:tcBorders>
            <w:vAlign w:val="center"/>
          </w:tcPr>
          <w:p w14:paraId="4E4C2738">
            <w:pPr>
              <w:snapToGrid w:val="0"/>
              <w:jc w:val="center"/>
              <w:rPr>
                <w:rFonts w:hint="default" w:eastAsia="宋体" w:asciiTheme="minorEastAsia" w:hAnsiTheme="minorEastAsia"/>
                <w:sz w:val="24"/>
                <w:szCs w:val="24"/>
                <w:lang w:val="en-US" w:eastAsia="zh-CN"/>
              </w:rPr>
            </w:pPr>
            <w:r>
              <w:rPr>
                <w:rFonts w:hint="eastAsia" w:eastAsia="宋体" w:asciiTheme="minorEastAsia" w:hAnsiTheme="minorEastAsia"/>
                <w:sz w:val="24"/>
                <w:szCs w:val="24"/>
                <w:lang w:val="en-US" w:eastAsia="zh-CN"/>
              </w:rPr>
              <w:t>门窗加工费用报价</w:t>
            </w:r>
          </w:p>
        </w:tc>
        <w:tc>
          <w:tcPr>
            <w:tcW w:w="1746" w:type="pct"/>
            <w:tcBorders>
              <w:top w:val="single" w:color="auto" w:sz="4" w:space="0"/>
              <w:left w:val="single" w:color="auto" w:sz="4" w:space="0"/>
              <w:bottom w:val="single" w:color="auto" w:sz="4" w:space="0"/>
              <w:right w:val="single" w:color="auto" w:sz="4" w:space="0"/>
            </w:tcBorders>
            <w:vAlign w:val="center"/>
          </w:tcPr>
          <w:p w14:paraId="5F30A6E0">
            <w:pPr>
              <w:snapToGrid w:val="0"/>
              <w:jc w:val="left"/>
              <w:rPr>
                <w:rFonts w:hint="default" w:asciiTheme="minorEastAsia" w:hAnsiTheme="minorEastAsia"/>
                <w:color w:val="auto"/>
                <w:sz w:val="18"/>
                <w:szCs w:val="18"/>
                <w:lang w:val="en-US" w:eastAsia="zh-CN"/>
              </w:rPr>
            </w:pPr>
            <w:r>
              <w:rPr>
                <w:rFonts w:hint="default" w:asciiTheme="minorEastAsia" w:hAnsiTheme="minorEastAsia"/>
                <w:color w:val="auto"/>
                <w:sz w:val="18"/>
                <w:szCs w:val="18"/>
                <w:lang w:val="en-US" w:eastAsia="zh-CN"/>
              </w:rPr>
              <w:t>所有有效响应的报价最低值为评分基准值。</w:t>
            </w:r>
          </w:p>
          <w:p w14:paraId="6610661A">
            <w:pPr>
              <w:snapToGrid w:val="0"/>
              <w:jc w:val="left"/>
              <w:rPr>
                <w:rFonts w:hint="default" w:asciiTheme="minorEastAsia" w:hAnsiTheme="minorEastAsia"/>
                <w:b/>
                <w:bCs/>
                <w:color w:val="auto"/>
                <w:sz w:val="18"/>
                <w:szCs w:val="18"/>
                <w:lang w:val="en-US" w:eastAsia="zh-CN"/>
              </w:rPr>
            </w:pPr>
            <w:r>
              <w:rPr>
                <w:rFonts w:hint="default" w:asciiTheme="minorEastAsia" w:hAnsiTheme="minorEastAsia"/>
                <w:b/>
                <w:bCs/>
                <w:color w:val="auto"/>
                <w:sz w:val="18"/>
                <w:szCs w:val="18"/>
                <w:lang w:val="en-US" w:eastAsia="zh-CN"/>
              </w:rPr>
              <w:t>步骤1：计算单品类得分。</w:t>
            </w:r>
          </w:p>
          <w:p w14:paraId="3F804BF7">
            <w:pPr>
              <w:snapToGrid w:val="0"/>
              <w:jc w:val="left"/>
              <w:rPr>
                <w:rFonts w:hint="default" w:asciiTheme="minorEastAsia" w:hAnsiTheme="minorEastAsia"/>
                <w:b/>
                <w:bCs/>
                <w:color w:val="auto"/>
                <w:sz w:val="18"/>
                <w:szCs w:val="18"/>
                <w:lang w:val="en-US" w:eastAsia="zh-CN"/>
              </w:rPr>
            </w:pPr>
            <w:r>
              <w:rPr>
                <w:rFonts w:hint="default" w:asciiTheme="minorEastAsia" w:hAnsiTheme="minorEastAsia"/>
                <w:b/>
                <w:bCs/>
                <w:color w:val="auto"/>
                <w:sz w:val="18"/>
                <w:szCs w:val="18"/>
                <w:lang w:val="en-US" w:eastAsia="zh-CN"/>
              </w:rPr>
              <w:t>单品类得分=该品类最低报价÷该供应商该品类报价×100；</w:t>
            </w:r>
          </w:p>
          <w:p w14:paraId="15147FDB">
            <w:pPr>
              <w:snapToGrid w:val="0"/>
              <w:jc w:val="left"/>
              <w:rPr>
                <w:rFonts w:hint="default" w:asciiTheme="minorEastAsia" w:hAnsiTheme="minorEastAsia"/>
                <w:b/>
                <w:bCs/>
                <w:color w:val="auto"/>
                <w:sz w:val="18"/>
                <w:szCs w:val="18"/>
                <w:lang w:val="en-US" w:eastAsia="zh-CN"/>
              </w:rPr>
            </w:pPr>
            <w:r>
              <w:rPr>
                <w:rFonts w:hint="default" w:asciiTheme="minorEastAsia" w:hAnsiTheme="minorEastAsia"/>
                <w:b/>
                <w:bCs/>
                <w:color w:val="auto"/>
                <w:sz w:val="18"/>
                <w:szCs w:val="18"/>
                <w:lang w:val="en-US" w:eastAsia="zh-CN"/>
              </w:rPr>
              <w:t>步骤2：计算价格分项原始总分。</w:t>
            </w:r>
          </w:p>
          <w:p w14:paraId="6BC6ADD3">
            <w:pPr>
              <w:snapToGrid w:val="0"/>
              <w:jc w:val="left"/>
              <w:rPr>
                <w:rFonts w:hint="default" w:asciiTheme="minorEastAsia" w:hAnsiTheme="minorEastAsia"/>
                <w:b/>
                <w:bCs/>
                <w:color w:val="auto"/>
                <w:sz w:val="18"/>
                <w:szCs w:val="18"/>
                <w:lang w:val="en-US" w:eastAsia="zh-CN"/>
              </w:rPr>
            </w:pPr>
            <w:r>
              <w:rPr>
                <w:rFonts w:hint="default" w:asciiTheme="minorEastAsia" w:hAnsiTheme="minorEastAsia"/>
                <w:b/>
                <w:bCs/>
                <w:color w:val="auto"/>
                <w:sz w:val="18"/>
                <w:szCs w:val="18"/>
                <w:lang w:val="en-US" w:eastAsia="zh-CN"/>
              </w:rPr>
              <w:t>价格分项原始总分=</w:t>
            </w:r>
            <w:r>
              <w:rPr>
                <w:rFonts w:hint="eastAsia" w:asciiTheme="minorEastAsia" w:hAnsiTheme="minorEastAsia"/>
                <w:b/>
                <w:bCs/>
                <w:color w:val="auto"/>
                <w:sz w:val="18"/>
                <w:szCs w:val="18"/>
                <w:lang w:val="en-US" w:eastAsia="zh-CN"/>
              </w:rPr>
              <w:t>金属推拉门</w:t>
            </w:r>
            <w:r>
              <w:rPr>
                <w:rFonts w:hint="default" w:asciiTheme="minorEastAsia" w:hAnsiTheme="minorEastAsia"/>
                <w:b/>
                <w:bCs/>
                <w:color w:val="auto"/>
                <w:sz w:val="18"/>
                <w:szCs w:val="18"/>
                <w:lang w:val="en-US" w:eastAsia="zh-CN"/>
              </w:rPr>
              <w:t>×</w:t>
            </w:r>
            <w:r>
              <w:rPr>
                <w:rFonts w:hint="eastAsia" w:asciiTheme="minorEastAsia" w:hAnsiTheme="minorEastAsia"/>
                <w:b/>
                <w:bCs/>
                <w:color w:val="auto"/>
                <w:sz w:val="18"/>
                <w:szCs w:val="18"/>
                <w:lang w:val="en-US" w:eastAsia="zh-CN"/>
              </w:rPr>
              <w:t>0.3+</w:t>
            </w:r>
            <w:r>
              <w:rPr>
                <w:rFonts w:hint="default" w:asciiTheme="minorEastAsia" w:hAnsiTheme="minorEastAsia"/>
                <w:b/>
                <w:bCs/>
                <w:color w:val="auto"/>
                <w:sz w:val="18"/>
                <w:szCs w:val="18"/>
                <w:lang w:val="en-US" w:eastAsia="zh-CN"/>
              </w:rPr>
              <w:t>平开窗得分×0.</w:t>
            </w:r>
            <w:r>
              <w:rPr>
                <w:rFonts w:hint="eastAsia" w:asciiTheme="minorEastAsia" w:hAnsiTheme="minorEastAsia"/>
                <w:b/>
                <w:bCs/>
                <w:color w:val="auto"/>
                <w:sz w:val="18"/>
                <w:szCs w:val="18"/>
                <w:lang w:val="en-US" w:eastAsia="zh-CN"/>
              </w:rPr>
              <w:t>4</w:t>
            </w:r>
            <w:r>
              <w:rPr>
                <w:rFonts w:hint="default" w:asciiTheme="minorEastAsia" w:hAnsiTheme="minorEastAsia"/>
                <w:b/>
                <w:bCs/>
                <w:color w:val="auto"/>
                <w:sz w:val="18"/>
                <w:szCs w:val="18"/>
                <w:lang w:val="en-US" w:eastAsia="zh-CN"/>
              </w:rPr>
              <w:t>+推拉窗得分×0.</w:t>
            </w:r>
            <w:r>
              <w:rPr>
                <w:rFonts w:hint="eastAsia" w:asciiTheme="minorEastAsia" w:hAnsiTheme="minorEastAsia"/>
                <w:b/>
                <w:bCs/>
                <w:color w:val="auto"/>
                <w:sz w:val="18"/>
                <w:szCs w:val="18"/>
                <w:lang w:val="en-US" w:eastAsia="zh-CN"/>
              </w:rPr>
              <w:t>2</w:t>
            </w:r>
            <w:r>
              <w:rPr>
                <w:rFonts w:hint="default" w:asciiTheme="minorEastAsia" w:hAnsiTheme="minorEastAsia"/>
                <w:b/>
                <w:bCs/>
                <w:color w:val="auto"/>
                <w:sz w:val="18"/>
                <w:szCs w:val="18"/>
                <w:lang w:val="en-US" w:eastAsia="zh-CN"/>
              </w:rPr>
              <w:t>+栏杆得分×0.1；</w:t>
            </w:r>
          </w:p>
          <w:p w14:paraId="378C9D42">
            <w:pPr>
              <w:snapToGrid w:val="0"/>
              <w:jc w:val="left"/>
              <w:rPr>
                <w:rFonts w:hint="default" w:asciiTheme="minorEastAsia" w:hAnsiTheme="minorEastAsia"/>
                <w:b/>
                <w:bCs/>
                <w:color w:val="auto"/>
                <w:sz w:val="18"/>
                <w:szCs w:val="18"/>
                <w:lang w:val="en-US" w:eastAsia="zh-CN"/>
              </w:rPr>
            </w:pPr>
            <w:r>
              <w:rPr>
                <w:rFonts w:hint="default" w:asciiTheme="minorEastAsia" w:hAnsiTheme="minorEastAsia"/>
                <w:b/>
                <w:bCs/>
                <w:color w:val="auto"/>
                <w:sz w:val="18"/>
                <w:szCs w:val="18"/>
                <w:lang w:val="en-US" w:eastAsia="zh-CN"/>
              </w:rPr>
              <w:t>步骤3：计算价格分项折算得分（占最终总分</w:t>
            </w:r>
            <w:r>
              <w:rPr>
                <w:rFonts w:hint="eastAsia" w:asciiTheme="minorEastAsia" w:hAnsiTheme="minorEastAsia"/>
                <w:b/>
                <w:bCs/>
                <w:color w:val="auto"/>
                <w:sz w:val="18"/>
                <w:szCs w:val="18"/>
                <w:lang w:val="en-US" w:eastAsia="zh-CN"/>
              </w:rPr>
              <w:t>6</w:t>
            </w:r>
            <w:r>
              <w:rPr>
                <w:rFonts w:hint="default" w:asciiTheme="minorEastAsia" w:hAnsiTheme="minorEastAsia"/>
                <w:b/>
                <w:bCs/>
                <w:color w:val="auto"/>
                <w:sz w:val="18"/>
                <w:szCs w:val="18"/>
                <w:lang w:val="en-US" w:eastAsia="zh-CN"/>
              </w:rPr>
              <w:t>0%）</w:t>
            </w:r>
          </w:p>
          <w:p w14:paraId="688E786E">
            <w:pPr>
              <w:snapToGrid w:val="0"/>
              <w:jc w:val="left"/>
              <w:rPr>
                <w:rFonts w:hint="default" w:asciiTheme="minorEastAsia" w:hAnsiTheme="minorEastAsia"/>
                <w:b/>
                <w:bCs/>
                <w:color w:val="auto"/>
                <w:sz w:val="18"/>
                <w:szCs w:val="18"/>
                <w:lang w:val="en-US" w:eastAsia="zh-CN"/>
              </w:rPr>
            </w:pPr>
            <w:r>
              <w:rPr>
                <w:rFonts w:hint="default" w:asciiTheme="minorEastAsia" w:hAnsiTheme="minorEastAsia"/>
                <w:b/>
                <w:bCs/>
                <w:color w:val="auto"/>
                <w:sz w:val="18"/>
                <w:szCs w:val="18"/>
                <w:lang w:val="en-US" w:eastAsia="zh-CN"/>
              </w:rPr>
              <w:t>价格分项折算得分=价格分项原始总</w:t>
            </w:r>
            <w:r>
              <w:rPr>
                <w:rFonts w:hint="eastAsia" w:asciiTheme="minorEastAsia" w:hAnsiTheme="minorEastAsia"/>
                <w:b/>
                <w:bCs/>
                <w:color w:val="auto"/>
                <w:sz w:val="18"/>
                <w:szCs w:val="18"/>
                <w:lang w:val="en-US" w:eastAsia="zh-CN"/>
              </w:rPr>
              <w:t>分</w:t>
            </w:r>
            <w:r>
              <w:rPr>
                <w:rFonts w:hint="default" w:asciiTheme="minorEastAsia" w:hAnsiTheme="minorEastAsia"/>
                <w:b/>
                <w:bCs/>
                <w:color w:val="auto"/>
                <w:sz w:val="18"/>
                <w:szCs w:val="18"/>
                <w:lang w:val="en-US" w:eastAsia="zh-CN"/>
              </w:rPr>
              <w:t>×</w:t>
            </w:r>
            <w:r>
              <w:rPr>
                <w:rFonts w:hint="eastAsia" w:asciiTheme="minorEastAsia" w:hAnsiTheme="minorEastAsia"/>
                <w:b/>
                <w:bCs/>
                <w:color w:val="auto"/>
                <w:sz w:val="18"/>
                <w:szCs w:val="18"/>
                <w:lang w:val="en-US" w:eastAsia="zh-CN"/>
              </w:rPr>
              <w:t>6</w:t>
            </w:r>
            <w:r>
              <w:rPr>
                <w:rFonts w:hint="default" w:asciiTheme="minorEastAsia" w:hAnsiTheme="minorEastAsia"/>
                <w:b/>
                <w:bCs/>
                <w:color w:val="auto"/>
                <w:sz w:val="18"/>
                <w:szCs w:val="18"/>
                <w:lang w:val="en-US" w:eastAsia="zh-CN"/>
              </w:rPr>
              <w:t>0%。</w:t>
            </w:r>
          </w:p>
          <w:p w14:paraId="7AC7B759">
            <w:pPr>
              <w:snapToGrid w:val="0"/>
              <w:jc w:val="left"/>
              <w:rPr>
                <w:rFonts w:hint="default" w:asciiTheme="minorEastAsia" w:hAnsiTheme="minorEastAsia"/>
                <w:color w:val="auto"/>
                <w:sz w:val="18"/>
                <w:szCs w:val="18"/>
                <w:lang w:val="en-US" w:eastAsia="zh-CN"/>
              </w:rPr>
            </w:pPr>
            <w:r>
              <w:rPr>
                <w:rFonts w:hint="default" w:asciiTheme="minorEastAsia" w:hAnsiTheme="minorEastAsia"/>
                <w:color w:val="auto"/>
                <w:sz w:val="18"/>
                <w:szCs w:val="18"/>
                <w:lang w:val="en-US" w:eastAsia="zh-CN"/>
              </w:rPr>
              <w:t>（分值计算采取“四舍五入”的方法精确到小数点后两位。）</w:t>
            </w:r>
          </w:p>
        </w:tc>
        <w:tc>
          <w:tcPr>
            <w:tcW w:w="583" w:type="pct"/>
            <w:tcBorders>
              <w:top w:val="single" w:color="auto" w:sz="4" w:space="0"/>
              <w:left w:val="single" w:color="auto" w:sz="4" w:space="0"/>
              <w:bottom w:val="single" w:color="auto" w:sz="4" w:space="0"/>
              <w:right w:val="single" w:color="auto" w:sz="4" w:space="0"/>
            </w:tcBorders>
            <w:vAlign w:val="center"/>
          </w:tcPr>
          <w:p w14:paraId="0389F8BF">
            <w:pPr>
              <w:snapToGrid w:val="0"/>
              <w:jc w:val="center"/>
              <w:rPr>
                <w:rFonts w:ascii="宋体" w:hAnsi="宋体" w:eastAsia="宋体" w:cs="Times New Roman"/>
                <w:sz w:val="24"/>
                <w:szCs w:val="24"/>
              </w:rPr>
            </w:pPr>
          </w:p>
        </w:tc>
        <w:tc>
          <w:tcPr>
            <w:tcW w:w="402" w:type="pct"/>
            <w:tcBorders>
              <w:top w:val="single" w:color="auto" w:sz="4" w:space="0"/>
              <w:left w:val="single" w:color="auto" w:sz="4" w:space="0"/>
              <w:bottom w:val="single" w:color="auto" w:sz="4" w:space="0"/>
              <w:right w:val="single" w:color="auto" w:sz="4" w:space="0"/>
            </w:tcBorders>
            <w:vAlign w:val="center"/>
          </w:tcPr>
          <w:p w14:paraId="0F621FFD">
            <w:pPr>
              <w:snapToGrid w:val="0"/>
              <w:jc w:val="center"/>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60</w:t>
            </w:r>
          </w:p>
        </w:tc>
        <w:tc>
          <w:tcPr>
            <w:tcW w:w="462" w:type="pct"/>
            <w:tcBorders>
              <w:top w:val="single" w:color="auto" w:sz="4" w:space="0"/>
              <w:left w:val="single" w:color="auto" w:sz="4" w:space="0"/>
              <w:bottom w:val="single" w:color="auto" w:sz="4" w:space="0"/>
              <w:right w:val="single" w:color="auto" w:sz="4" w:space="0"/>
            </w:tcBorders>
            <w:vAlign w:val="center"/>
          </w:tcPr>
          <w:p w14:paraId="6B77FB12">
            <w:pPr>
              <w:snapToGrid w:val="0"/>
              <w:jc w:val="center"/>
              <w:rPr>
                <w:rFonts w:ascii="宋体" w:hAnsi="宋体" w:eastAsia="宋体" w:cs="Times New Roman"/>
                <w:sz w:val="24"/>
                <w:szCs w:val="24"/>
              </w:rPr>
            </w:pPr>
          </w:p>
        </w:tc>
      </w:tr>
      <w:tr w14:paraId="2D0D1D5C">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485" w:hRule="atLeast"/>
          <w:jc w:val="center"/>
        </w:trPr>
        <w:tc>
          <w:tcPr>
            <w:tcW w:w="472" w:type="pct"/>
            <w:vMerge w:val="continue"/>
            <w:tcBorders>
              <w:top w:val="single" w:color="auto" w:sz="4" w:space="0"/>
              <w:left w:val="single" w:color="auto" w:sz="4" w:space="0"/>
              <w:bottom w:val="single" w:color="auto" w:sz="4" w:space="0"/>
              <w:right w:val="single" w:color="auto" w:sz="4" w:space="0"/>
            </w:tcBorders>
            <w:vAlign w:val="center"/>
          </w:tcPr>
          <w:p w14:paraId="10DBAC04">
            <w:pPr>
              <w:snapToGrid w:val="0"/>
              <w:rPr>
                <w:rFonts w:ascii="宋体" w:hAnsi="宋体" w:eastAsia="宋体" w:cs="Times New Roman"/>
                <w:sz w:val="24"/>
              </w:rPr>
            </w:pPr>
          </w:p>
        </w:tc>
        <w:tc>
          <w:tcPr>
            <w:tcW w:w="349" w:type="pct"/>
            <w:vMerge w:val="continue"/>
            <w:tcBorders>
              <w:top w:val="single" w:color="auto" w:sz="4" w:space="0"/>
              <w:left w:val="single" w:color="auto" w:sz="4" w:space="0"/>
              <w:bottom w:val="single" w:color="auto" w:sz="4" w:space="0"/>
              <w:right w:val="single" w:color="auto" w:sz="4" w:space="0"/>
            </w:tcBorders>
            <w:vAlign w:val="center"/>
          </w:tcPr>
          <w:p w14:paraId="1E45D450">
            <w:pPr>
              <w:snapToGrid w:val="0"/>
              <w:jc w:val="center"/>
              <w:rPr>
                <w:rFonts w:ascii="宋体" w:hAnsi="宋体" w:eastAsia="宋体" w:cs="Times New Roman"/>
                <w:sz w:val="24"/>
              </w:rPr>
            </w:pPr>
          </w:p>
        </w:tc>
        <w:tc>
          <w:tcPr>
            <w:tcW w:w="982" w:type="pct"/>
            <w:tcBorders>
              <w:top w:val="single" w:color="auto" w:sz="4" w:space="0"/>
              <w:left w:val="single" w:color="auto" w:sz="4" w:space="0"/>
              <w:bottom w:val="single" w:color="auto" w:sz="4" w:space="0"/>
              <w:right w:val="single" w:color="auto" w:sz="4" w:space="0"/>
            </w:tcBorders>
            <w:vAlign w:val="center"/>
          </w:tcPr>
          <w:p w14:paraId="392D4BA2">
            <w:pPr>
              <w:snapToGrid w:val="0"/>
              <w:jc w:val="center"/>
              <w:rPr>
                <w:rFonts w:hint="default" w:eastAsia="宋体" w:asciiTheme="minorEastAsia" w:hAnsiTheme="minorEastAsia"/>
                <w:sz w:val="24"/>
                <w:szCs w:val="24"/>
                <w:lang w:val="en-US" w:eastAsia="zh-CN"/>
              </w:rPr>
            </w:pPr>
            <w:r>
              <w:rPr>
                <w:rFonts w:hint="eastAsia" w:eastAsia="宋体" w:asciiTheme="minorEastAsia" w:hAnsiTheme="minorEastAsia"/>
                <w:sz w:val="24"/>
                <w:szCs w:val="24"/>
                <w:lang w:val="en-US" w:eastAsia="zh-CN"/>
              </w:rPr>
              <w:t>生产能力</w:t>
            </w:r>
          </w:p>
        </w:tc>
        <w:tc>
          <w:tcPr>
            <w:tcW w:w="1746" w:type="pct"/>
            <w:tcBorders>
              <w:top w:val="single" w:color="auto" w:sz="4" w:space="0"/>
              <w:left w:val="single" w:color="auto" w:sz="4" w:space="0"/>
              <w:bottom w:val="single" w:color="auto" w:sz="4" w:space="0"/>
              <w:right w:val="single" w:color="auto" w:sz="4" w:space="0"/>
            </w:tcBorders>
            <w:vAlign w:val="center"/>
          </w:tcPr>
          <w:p w14:paraId="55DF454B">
            <w:pPr>
              <w:snapToGrid w:val="0"/>
              <w:jc w:val="left"/>
              <w:rPr>
                <w:rFonts w:hint="default" w:asciiTheme="minorEastAsia" w:hAnsiTheme="minorEastAsia"/>
                <w:sz w:val="18"/>
                <w:szCs w:val="18"/>
                <w:highlight w:val="none"/>
                <w:u w:val="none"/>
                <w:lang w:val="en-US" w:eastAsia="zh-CN"/>
              </w:rPr>
            </w:pPr>
            <w:r>
              <w:rPr>
                <w:rFonts w:ascii="Segoe UI" w:hAnsi="Segoe UI" w:eastAsia="Segoe UI" w:cs="Segoe UI"/>
                <w:i w:val="0"/>
                <w:iCs w:val="0"/>
                <w:caps w:val="0"/>
                <w:color w:val="0F1115"/>
                <w:spacing w:val="0"/>
                <w:sz w:val="19"/>
                <w:szCs w:val="19"/>
                <w:shd w:val="clear" w:fill="FFFFFF"/>
              </w:rPr>
              <w:t>申请单位必须拥有符合</w:t>
            </w:r>
            <w:r>
              <w:rPr>
                <w:rFonts w:hint="eastAsia" w:ascii="Segoe UI" w:hAnsi="Segoe UI" w:eastAsia="宋体" w:cs="Segoe UI"/>
                <w:i w:val="0"/>
                <w:iCs w:val="0"/>
                <w:caps w:val="0"/>
                <w:color w:val="0F1115"/>
                <w:spacing w:val="0"/>
                <w:sz w:val="19"/>
                <w:szCs w:val="19"/>
                <w:shd w:val="clear" w:fill="FFFFFF"/>
                <w:lang w:val="en-US" w:eastAsia="zh-CN"/>
              </w:rPr>
              <w:t>要求的</w:t>
            </w:r>
            <w:r>
              <w:rPr>
                <w:rFonts w:ascii="Segoe UI" w:hAnsi="Segoe UI" w:eastAsia="Segoe UI" w:cs="Segoe UI"/>
                <w:i w:val="0"/>
                <w:iCs w:val="0"/>
                <w:caps w:val="0"/>
                <w:color w:val="0F1115"/>
                <w:spacing w:val="0"/>
                <w:sz w:val="19"/>
                <w:szCs w:val="19"/>
                <w:shd w:val="clear" w:fill="FFFFFF"/>
              </w:rPr>
              <w:t>生</w:t>
            </w:r>
            <w:r>
              <w:rPr>
                <w:rFonts w:hint="eastAsia" w:asciiTheme="minorEastAsia" w:hAnsiTheme="minorEastAsia"/>
                <w:sz w:val="18"/>
                <w:szCs w:val="18"/>
                <w:highlight w:val="none"/>
                <w:u w:val="none"/>
                <w:lang w:val="en-US" w:eastAsia="zh-CN"/>
              </w:rPr>
              <w:t>产设备，且所申报的每台/套设备均需提供清晰、有效的产权证明或购买支付凭证，</w:t>
            </w:r>
            <w:r>
              <w:rPr>
                <w:rFonts w:hint="default" w:asciiTheme="minorEastAsia" w:hAnsiTheme="minorEastAsia"/>
                <w:sz w:val="18"/>
                <w:szCs w:val="18"/>
                <w:highlight w:val="none"/>
                <w:u w:val="none"/>
                <w:lang w:val="en-US" w:eastAsia="zh-CN"/>
              </w:rPr>
              <w:t>包括但不限于：</w:t>
            </w:r>
            <w:r>
              <w:rPr>
                <w:rFonts w:hint="default" w:asciiTheme="minorEastAsia" w:hAnsiTheme="minorEastAsia"/>
                <w:b/>
                <w:bCs/>
                <w:sz w:val="18"/>
                <w:szCs w:val="18"/>
                <w:highlight w:val="none"/>
                <w:u w:val="none"/>
                <w:lang w:val="en-US" w:eastAsia="zh-CN"/>
              </w:rPr>
              <w:t>采购合同、发票、产权登记/备案文件、申请单位对公账户的银行付款凭证，或由申请单位法人代表、主要股东及企业负责人个人账户支付并附有申请单位加盖公章予以确认的付款记录</w:t>
            </w:r>
            <w:r>
              <w:rPr>
                <w:rFonts w:hint="eastAsia" w:asciiTheme="minorEastAsia" w:hAnsiTheme="minorEastAsia"/>
                <w:sz w:val="18"/>
                <w:szCs w:val="18"/>
                <w:highlight w:val="none"/>
                <w:u w:val="none"/>
                <w:lang w:val="en-US" w:eastAsia="zh-CN"/>
              </w:rPr>
              <w:t>；</w:t>
            </w:r>
            <w:r>
              <w:rPr>
                <w:rFonts w:hint="default" w:asciiTheme="minorEastAsia" w:hAnsiTheme="minorEastAsia"/>
                <w:sz w:val="18"/>
                <w:szCs w:val="18"/>
                <w:highlight w:val="none"/>
                <w:u w:val="none"/>
                <w:lang w:val="en-US" w:eastAsia="zh-CN"/>
              </w:rPr>
              <w:t>未能提供任何有效凭证的设备，在评审打分时不予计入。</w:t>
            </w:r>
          </w:p>
          <w:p w14:paraId="43B19E96">
            <w:pPr>
              <w:snapToGrid w:val="0"/>
              <w:jc w:val="left"/>
              <w:rPr>
                <w:rFonts w:hint="eastAsia" w:asciiTheme="minorEastAsia" w:hAnsiTheme="minorEastAsia"/>
                <w:sz w:val="18"/>
                <w:szCs w:val="18"/>
                <w:highlight w:val="none"/>
                <w:u w:val="none"/>
                <w:lang w:val="en-US" w:eastAsia="zh-CN"/>
              </w:rPr>
            </w:pPr>
            <w:r>
              <w:rPr>
                <w:rFonts w:hint="eastAsia" w:asciiTheme="minorEastAsia" w:hAnsiTheme="minorEastAsia"/>
                <w:sz w:val="18"/>
                <w:szCs w:val="18"/>
                <w:highlight w:val="none"/>
                <w:u w:val="none"/>
                <w:lang w:val="en-US" w:eastAsia="zh-CN"/>
              </w:rPr>
              <w:t>1.型材加工设备（共计10分）</w:t>
            </w:r>
          </w:p>
          <w:p w14:paraId="589F54AD">
            <w:pPr>
              <w:snapToGrid w:val="0"/>
              <w:jc w:val="left"/>
              <w:rPr>
                <w:rFonts w:hint="eastAsia" w:asciiTheme="minorEastAsia" w:hAnsiTheme="minorEastAsia"/>
                <w:sz w:val="18"/>
                <w:szCs w:val="18"/>
                <w:u w:val="none"/>
                <w:lang w:val="en-US" w:eastAsia="zh-CN"/>
              </w:rPr>
            </w:pPr>
            <w:r>
              <w:rPr>
                <w:rFonts w:hint="eastAsia" w:asciiTheme="minorEastAsia" w:hAnsiTheme="minorEastAsia"/>
                <w:sz w:val="18"/>
                <w:szCs w:val="18"/>
                <w:highlight w:val="none"/>
                <w:u w:val="none"/>
                <w:lang w:val="en-US" w:eastAsia="zh-CN"/>
              </w:rPr>
              <w:t>切割与铣削设备：考察双头锯、数控切割中心、端面铣、冲床等核心加工设备的</w:t>
            </w:r>
            <w:r>
              <w:rPr>
                <w:rFonts w:hint="eastAsia" w:asciiTheme="minorEastAsia" w:hAnsiTheme="minorEastAsia"/>
                <w:sz w:val="18"/>
                <w:szCs w:val="18"/>
                <w:u w:val="none"/>
                <w:lang w:val="en-US" w:eastAsia="zh-CN"/>
              </w:rPr>
              <w:t>总台数；</w:t>
            </w:r>
          </w:p>
          <w:p w14:paraId="5CFDECEC">
            <w:pPr>
              <w:snapToGrid w:val="0"/>
              <w:jc w:val="left"/>
              <w:rPr>
                <w:rFonts w:hint="default" w:asciiTheme="minorEastAsia" w:hAnsiTheme="minorEastAsia"/>
                <w:sz w:val="18"/>
                <w:szCs w:val="18"/>
                <w:u w:val="none"/>
                <w:lang w:val="en-US" w:eastAsia="zh-CN"/>
              </w:rPr>
            </w:pPr>
            <w:r>
              <w:rPr>
                <w:rFonts w:hint="eastAsia" w:asciiTheme="minorEastAsia" w:hAnsiTheme="minorEastAsia"/>
                <w:sz w:val="18"/>
                <w:szCs w:val="18"/>
                <w:u w:val="none"/>
                <w:lang w:val="en-US" w:eastAsia="zh-CN"/>
              </w:rPr>
              <w:t>（1）拥有上述主要设备总计≥5台，得10分。</w:t>
            </w:r>
          </w:p>
          <w:p w14:paraId="725AFE30">
            <w:pPr>
              <w:snapToGrid w:val="0"/>
              <w:jc w:val="left"/>
              <w:rPr>
                <w:rFonts w:hint="default" w:asciiTheme="minorEastAsia" w:hAnsiTheme="minorEastAsia"/>
                <w:sz w:val="18"/>
                <w:szCs w:val="18"/>
                <w:u w:val="none"/>
                <w:lang w:val="en-US" w:eastAsia="zh-CN"/>
              </w:rPr>
            </w:pPr>
            <w:r>
              <w:rPr>
                <w:rFonts w:hint="eastAsia" w:asciiTheme="minorEastAsia" w:hAnsiTheme="minorEastAsia"/>
                <w:sz w:val="18"/>
                <w:szCs w:val="18"/>
                <w:u w:val="none"/>
                <w:lang w:val="en-US" w:eastAsia="zh-CN"/>
              </w:rPr>
              <w:t>（2）拥有主要设备总计3-4台，得7分。</w:t>
            </w:r>
          </w:p>
          <w:p w14:paraId="22BA310C">
            <w:pPr>
              <w:snapToGrid w:val="0"/>
              <w:jc w:val="left"/>
              <w:rPr>
                <w:rFonts w:hint="default" w:asciiTheme="minorEastAsia" w:hAnsiTheme="minorEastAsia"/>
                <w:sz w:val="18"/>
                <w:szCs w:val="18"/>
                <w:u w:val="none"/>
                <w:lang w:val="en-US" w:eastAsia="zh-CN"/>
              </w:rPr>
            </w:pPr>
            <w:r>
              <w:rPr>
                <w:rFonts w:hint="eastAsia" w:asciiTheme="minorEastAsia" w:hAnsiTheme="minorEastAsia"/>
                <w:sz w:val="18"/>
                <w:szCs w:val="18"/>
                <w:u w:val="none"/>
                <w:lang w:val="en-US" w:eastAsia="zh-CN"/>
              </w:rPr>
              <w:t>（3）主要设备总计少于3台，得5分。</w:t>
            </w:r>
          </w:p>
          <w:p w14:paraId="404466EC">
            <w:pPr>
              <w:snapToGrid w:val="0"/>
              <w:jc w:val="left"/>
              <w:rPr>
                <w:rFonts w:hint="eastAsia" w:asciiTheme="minorEastAsia" w:hAnsiTheme="minorEastAsia"/>
                <w:sz w:val="18"/>
                <w:szCs w:val="18"/>
                <w:u w:val="none"/>
                <w:lang w:val="en-US" w:eastAsia="zh-CN"/>
              </w:rPr>
            </w:pPr>
            <w:r>
              <w:rPr>
                <w:rFonts w:hint="eastAsia" w:asciiTheme="minorEastAsia" w:hAnsiTheme="minorEastAsia"/>
                <w:sz w:val="18"/>
                <w:szCs w:val="18"/>
                <w:u w:val="none"/>
                <w:lang w:val="en-US" w:eastAsia="zh-CN"/>
              </w:rPr>
              <w:t>2.组角设备（共计7分）</w:t>
            </w:r>
          </w:p>
          <w:p w14:paraId="44C505B6">
            <w:pPr>
              <w:snapToGrid w:val="0"/>
              <w:jc w:val="left"/>
              <w:rPr>
                <w:rFonts w:hint="eastAsia" w:asciiTheme="minorEastAsia" w:hAnsiTheme="minorEastAsia"/>
                <w:sz w:val="18"/>
                <w:szCs w:val="18"/>
                <w:u w:val="none"/>
                <w:lang w:val="en-US" w:eastAsia="zh-CN"/>
              </w:rPr>
            </w:pPr>
            <w:r>
              <w:rPr>
                <w:rFonts w:hint="eastAsia" w:asciiTheme="minorEastAsia" w:hAnsiTheme="minorEastAsia"/>
                <w:sz w:val="18"/>
                <w:szCs w:val="18"/>
                <w:u w:val="none"/>
                <w:lang w:val="en-US" w:eastAsia="zh-CN"/>
              </w:rPr>
              <w:t>（1）拥有数控组角机≥2台，且配备角码切割锯，得7分；</w:t>
            </w:r>
          </w:p>
          <w:p w14:paraId="5923A612">
            <w:pPr>
              <w:snapToGrid w:val="0"/>
              <w:jc w:val="left"/>
              <w:rPr>
                <w:rFonts w:hint="eastAsia" w:asciiTheme="minorEastAsia" w:hAnsiTheme="minorEastAsia"/>
                <w:sz w:val="18"/>
                <w:szCs w:val="18"/>
                <w:u w:val="none"/>
                <w:lang w:val="en-US" w:eastAsia="zh-CN"/>
              </w:rPr>
            </w:pPr>
            <w:r>
              <w:rPr>
                <w:rFonts w:hint="eastAsia" w:asciiTheme="minorEastAsia" w:hAnsiTheme="minorEastAsia"/>
                <w:sz w:val="18"/>
                <w:szCs w:val="18"/>
                <w:u w:val="none"/>
                <w:lang w:val="en-US" w:eastAsia="zh-CN"/>
              </w:rPr>
              <w:t>（2）拥有1台数控组角机+1台普通组角机，得5分；</w:t>
            </w:r>
          </w:p>
          <w:p w14:paraId="03F792F2">
            <w:pPr>
              <w:snapToGrid w:val="0"/>
              <w:jc w:val="left"/>
              <w:rPr>
                <w:rFonts w:hint="eastAsia" w:asciiTheme="minorEastAsia" w:hAnsiTheme="minorEastAsia"/>
                <w:sz w:val="18"/>
                <w:szCs w:val="18"/>
                <w:u w:val="none"/>
                <w:lang w:val="en-US" w:eastAsia="zh-CN"/>
              </w:rPr>
            </w:pPr>
            <w:r>
              <w:rPr>
                <w:rFonts w:hint="eastAsia" w:asciiTheme="minorEastAsia" w:hAnsiTheme="minorEastAsia"/>
                <w:sz w:val="18"/>
                <w:szCs w:val="18"/>
                <w:u w:val="none"/>
                <w:lang w:val="en-US" w:eastAsia="zh-CN"/>
              </w:rPr>
              <w:t>（3）仅有普通组角机，得3分。</w:t>
            </w:r>
          </w:p>
          <w:p w14:paraId="656D973F">
            <w:pPr>
              <w:snapToGrid w:val="0"/>
              <w:jc w:val="left"/>
              <w:rPr>
                <w:rFonts w:hint="eastAsia" w:asciiTheme="minorEastAsia" w:hAnsiTheme="minorEastAsia"/>
                <w:sz w:val="18"/>
                <w:szCs w:val="18"/>
                <w:u w:val="none"/>
                <w:lang w:val="en-US" w:eastAsia="zh-CN"/>
              </w:rPr>
            </w:pPr>
            <w:r>
              <w:rPr>
                <w:rFonts w:hint="eastAsia" w:asciiTheme="minorEastAsia" w:hAnsiTheme="minorEastAsia"/>
                <w:sz w:val="18"/>
                <w:szCs w:val="18"/>
                <w:u w:val="none"/>
                <w:lang w:val="en-US" w:eastAsia="zh-CN"/>
              </w:rPr>
              <w:t>3.表面处理与辅助设备：以下条件，每</w:t>
            </w:r>
            <w:r>
              <w:rPr>
                <w:rFonts w:hint="eastAsia" w:asciiTheme="minorEastAsia" w:hAnsiTheme="minorEastAsia"/>
                <w:sz w:val="18"/>
                <w:szCs w:val="18"/>
                <w:lang w:val="en-US" w:eastAsia="zh-CN"/>
              </w:rPr>
              <w:t>符合</w:t>
            </w:r>
            <w:r>
              <w:rPr>
                <w:rFonts w:hint="default" w:asciiTheme="minorEastAsia" w:hAnsiTheme="minorEastAsia"/>
                <w:sz w:val="18"/>
                <w:szCs w:val="18"/>
              </w:rPr>
              <w:t>1</w:t>
            </w:r>
            <w:r>
              <w:rPr>
                <w:rFonts w:hint="eastAsia" w:asciiTheme="minorEastAsia" w:hAnsiTheme="minorEastAsia"/>
                <w:sz w:val="18"/>
                <w:szCs w:val="18"/>
                <w:lang w:val="en-US" w:eastAsia="zh-CN"/>
              </w:rPr>
              <w:t>项，得1分</w:t>
            </w:r>
            <w:r>
              <w:rPr>
                <w:rFonts w:hint="eastAsia" w:asciiTheme="minorEastAsia" w:hAnsiTheme="minorEastAsia"/>
                <w:sz w:val="18"/>
                <w:szCs w:val="18"/>
                <w:u w:val="none"/>
                <w:lang w:val="en-US" w:eastAsia="zh-CN"/>
              </w:rPr>
              <w:t>（共计3分）</w:t>
            </w:r>
          </w:p>
          <w:p w14:paraId="1F5FFF90">
            <w:pPr>
              <w:snapToGrid w:val="0"/>
              <w:jc w:val="left"/>
              <w:rPr>
                <w:rFonts w:hint="default" w:asciiTheme="minorEastAsia" w:hAnsiTheme="minorEastAsia"/>
                <w:sz w:val="18"/>
                <w:szCs w:val="18"/>
                <w:u w:val="none"/>
                <w:lang w:val="en-US" w:eastAsia="zh-CN"/>
              </w:rPr>
            </w:pPr>
            <w:r>
              <w:rPr>
                <w:rFonts w:hint="eastAsia" w:asciiTheme="minorEastAsia" w:hAnsiTheme="minorEastAsia"/>
                <w:sz w:val="18"/>
                <w:szCs w:val="18"/>
                <w:u w:val="none"/>
                <w:lang w:val="en-US" w:eastAsia="zh-CN"/>
              </w:rPr>
              <w:t>（1）具备规范的表面处理能力（自有喷涂线）。</w:t>
            </w:r>
          </w:p>
          <w:p w14:paraId="53B2EB5E">
            <w:pPr>
              <w:snapToGrid w:val="0"/>
              <w:jc w:val="left"/>
              <w:rPr>
                <w:rFonts w:hint="eastAsia" w:asciiTheme="minorEastAsia" w:hAnsiTheme="minorEastAsia"/>
                <w:sz w:val="18"/>
                <w:szCs w:val="18"/>
                <w:u w:val="none"/>
                <w:lang w:val="en-US" w:eastAsia="zh-CN"/>
              </w:rPr>
            </w:pPr>
            <w:r>
              <w:rPr>
                <w:rFonts w:hint="eastAsia" w:asciiTheme="minorEastAsia" w:hAnsiTheme="minorEastAsia"/>
                <w:sz w:val="18"/>
                <w:szCs w:val="18"/>
                <w:u w:val="none"/>
                <w:lang w:val="en-US" w:eastAsia="zh-CN"/>
              </w:rPr>
              <w:t>（2）拥有玻璃清洗机、合片机或专业除锈打磨等关键辅助设备。</w:t>
            </w:r>
          </w:p>
          <w:p w14:paraId="7D4580B9">
            <w:pPr>
              <w:snapToGrid w:val="0"/>
              <w:jc w:val="left"/>
              <w:rPr>
                <w:rFonts w:hint="default" w:asciiTheme="minorEastAsia" w:hAnsiTheme="minorEastAsia"/>
                <w:sz w:val="18"/>
                <w:szCs w:val="18"/>
                <w:lang w:eastAsia="zh-CN"/>
              </w:rPr>
            </w:pPr>
            <w:r>
              <w:rPr>
                <w:rFonts w:hint="eastAsia" w:asciiTheme="minorEastAsia" w:hAnsiTheme="minorEastAsia"/>
                <w:sz w:val="18"/>
                <w:szCs w:val="18"/>
                <w:u w:val="none"/>
                <w:lang w:val="en-US" w:eastAsia="zh-CN"/>
              </w:rPr>
              <w:t>（3）拥有气体保护焊机、激光焊机或机器人焊接工作站等其他焊接设备。</w:t>
            </w:r>
          </w:p>
        </w:tc>
        <w:tc>
          <w:tcPr>
            <w:tcW w:w="583" w:type="pct"/>
            <w:tcBorders>
              <w:top w:val="single" w:color="auto" w:sz="4" w:space="0"/>
              <w:left w:val="single" w:color="auto" w:sz="4" w:space="0"/>
              <w:bottom w:val="single" w:color="auto" w:sz="4" w:space="0"/>
              <w:right w:val="single" w:color="auto" w:sz="4" w:space="0"/>
            </w:tcBorders>
            <w:vAlign w:val="center"/>
          </w:tcPr>
          <w:p w14:paraId="49AA85A9">
            <w:pPr>
              <w:snapToGrid w:val="0"/>
              <w:jc w:val="center"/>
              <w:rPr>
                <w:rFonts w:ascii="宋体" w:hAnsi="宋体" w:eastAsia="宋体" w:cs="Times New Roman"/>
                <w:sz w:val="24"/>
                <w:szCs w:val="24"/>
              </w:rPr>
            </w:pPr>
          </w:p>
        </w:tc>
        <w:tc>
          <w:tcPr>
            <w:tcW w:w="402" w:type="pct"/>
            <w:tcBorders>
              <w:top w:val="single" w:color="auto" w:sz="4" w:space="0"/>
              <w:left w:val="single" w:color="auto" w:sz="4" w:space="0"/>
              <w:bottom w:val="single" w:color="auto" w:sz="4" w:space="0"/>
              <w:right w:val="single" w:color="auto" w:sz="4" w:space="0"/>
            </w:tcBorders>
            <w:vAlign w:val="center"/>
          </w:tcPr>
          <w:p w14:paraId="578BC66A">
            <w:pPr>
              <w:snapToGrid w:val="0"/>
              <w:jc w:val="center"/>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20</w:t>
            </w:r>
          </w:p>
        </w:tc>
        <w:tc>
          <w:tcPr>
            <w:tcW w:w="462" w:type="pct"/>
            <w:tcBorders>
              <w:top w:val="single" w:color="auto" w:sz="4" w:space="0"/>
              <w:left w:val="single" w:color="auto" w:sz="4" w:space="0"/>
              <w:bottom w:val="single" w:color="auto" w:sz="4" w:space="0"/>
              <w:right w:val="single" w:color="auto" w:sz="4" w:space="0"/>
            </w:tcBorders>
            <w:vAlign w:val="center"/>
          </w:tcPr>
          <w:p w14:paraId="527C39C7">
            <w:pPr>
              <w:snapToGrid w:val="0"/>
              <w:jc w:val="center"/>
              <w:rPr>
                <w:rFonts w:ascii="宋体" w:hAnsi="宋体" w:eastAsia="宋体" w:cs="Times New Roman"/>
                <w:sz w:val="24"/>
                <w:szCs w:val="24"/>
              </w:rPr>
            </w:pPr>
          </w:p>
        </w:tc>
      </w:tr>
      <w:tr w14:paraId="3DA0E8AC">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950" w:hRule="atLeast"/>
          <w:jc w:val="center"/>
        </w:trPr>
        <w:tc>
          <w:tcPr>
            <w:tcW w:w="472" w:type="pct"/>
            <w:vMerge w:val="continue"/>
            <w:tcBorders>
              <w:top w:val="single" w:color="auto" w:sz="4" w:space="0"/>
              <w:left w:val="single" w:color="auto" w:sz="4" w:space="0"/>
              <w:bottom w:val="single" w:color="auto" w:sz="4" w:space="0"/>
              <w:right w:val="single" w:color="auto" w:sz="4" w:space="0"/>
            </w:tcBorders>
            <w:vAlign w:val="center"/>
          </w:tcPr>
          <w:p w14:paraId="1C7141D2">
            <w:pPr>
              <w:snapToGrid w:val="0"/>
              <w:rPr>
                <w:rFonts w:ascii="宋体" w:hAnsi="宋体" w:eastAsia="宋体" w:cs="Times New Roman"/>
                <w:sz w:val="24"/>
              </w:rPr>
            </w:pPr>
          </w:p>
        </w:tc>
        <w:tc>
          <w:tcPr>
            <w:tcW w:w="349" w:type="pct"/>
            <w:vMerge w:val="continue"/>
            <w:tcBorders>
              <w:top w:val="single" w:color="auto" w:sz="4" w:space="0"/>
              <w:left w:val="single" w:color="auto" w:sz="4" w:space="0"/>
              <w:bottom w:val="single" w:color="auto" w:sz="4" w:space="0"/>
              <w:right w:val="single" w:color="auto" w:sz="4" w:space="0"/>
            </w:tcBorders>
            <w:vAlign w:val="center"/>
          </w:tcPr>
          <w:p w14:paraId="5718C25E">
            <w:pPr>
              <w:snapToGrid w:val="0"/>
              <w:jc w:val="center"/>
              <w:rPr>
                <w:rFonts w:ascii="宋体" w:hAnsi="宋体" w:eastAsia="宋体" w:cs="Times New Roman"/>
                <w:sz w:val="24"/>
              </w:rPr>
            </w:pPr>
          </w:p>
        </w:tc>
        <w:tc>
          <w:tcPr>
            <w:tcW w:w="982" w:type="pct"/>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1F090C5F">
            <w:pPr>
              <w:snapToGrid w:val="0"/>
              <w:jc w:val="center"/>
              <w:rPr>
                <w:rFonts w:eastAsia="宋体" w:asciiTheme="minorEastAsia" w:hAnsiTheme="minorEastAsia"/>
                <w:sz w:val="24"/>
                <w:szCs w:val="24"/>
              </w:rPr>
            </w:pPr>
            <w:r>
              <w:rPr>
                <w:rFonts w:hint="eastAsia" w:eastAsia="宋体" w:asciiTheme="minorEastAsia" w:hAnsiTheme="minorEastAsia"/>
                <w:sz w:val="24"/>
                <w:szCs w:val="24"/>
              </w:rPr>
              <w:t>业绩</w:t>
            </w:r>
          </w:p>
        </w:tc>
        <w:tc>
          <w:tcPr>
            <w:tcW w:w="1746" w:type="pct"/>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30C39C1D">
            <w:pPr>
              <w:snapToGrid w:val="0"/>
              <w:jc w:val="left"/>
              <w:rPr>
                <w:rFonts w:hint="default"/>
                <w:sz w:val="18"/>
                <w:szCs w:val="18"/>
                <w:lang w:val="en-US" w:eastAsia="zh-CN"/>
              </w:rPr>
            </w:pPr>
            <w:r>
              <w:rPr>
                <w:rFonts w:hint="eastAsia" w:asciiTheme="minorEastAsia" w:hAnsiTheme="minorEastAsia"/>
                <w:sz w:val="18"/>
                <w:szCs w:val="18"/>
                <w:lang w:val="en-US" w:eastAsia="zh-CN"/>
              </w:rPr>
              <w:t>申请单位提供近三年行业业绩：提供</w:t>
            </w:r>
            <w:r>
              <w:rPr>
                <w:rFonts w:hint="eastAsia" w:ascii="宋体" w:hAnsi="宋体" w:eastAsia="宋体" w:cs="宋体"/>
                <w:i w:val="0"/>
                <w:iCs w:val="0"/>
                <w:caps w:val="0"/>
                <w:color w:val="auto"/>
                <w:spacing w:val="0"/>
                <w:kern w:val="0"/>
                <w:sz w:val="18"/>
                <w:szCs w:val="18"/>
                <w:shd w:val="clear" w:color="auto" w:fill="FFFFFF"/>
                <w:lang w:val="zh-CN" w:eastAsia="zh-CN" w:bidi="zh-CN"/>
              </w:rPr>
              <w:t>两个单项目合同金额大于500万元（</w:t>
            </w:r>
            <w:r>
              <w:rPr>
                <w:rFonts w:hint="eastAsia" w:ascii="宋体" w:hAnsi="宋体" w:eastAsia="宋体" w:cs="宋体"/>
                <w:i w:val="0"/>
                <w:iCs w:val="0"/>
                <w:caps w:val="0"/>
                <w:color w:val="auto"/>
                <w:spacing w:val="0"/>
                <w:kern w:val="0"/>
                <w:sz w:val="18"/>
                <w:szCs w:val="18"/>
                <w:shd w:val="clear" w:color="auto" w:fill="FFFFFF"/>
                <w:lang w:val="en-US" w:eastAsia="zh-CN" w:bidi="zh-CN"/>
              </w:rPr>
              <w:t>含）</w:t>
            </w:r>
            <w:r>
              <w:rPr>
                <w:rFonts w:hint="eastAsia" w:ascii="宋体" w:hAnsi="宋体" w:eastAsia="宋体" w:cs="宋体"/>
                <w:i w:val="0"/>
                <w:iCs w:val="0"/>
                <w:caps w:val="0"/>
                <w:color w:val="auto"/>
                <w:spacing w:val="0"/>
                <w:kern w:val="0"/>
                <w:sz w:val="18"/>
                <w:szCs w:val="18"/>
                <w:shd w:val="clear" w:color="auto" w:fill="FFFFFF"/>
                <w:lang w:val="zh-CN" w:eastAsia="zh-CN" w:bidi="zh-CN"/>
              </w:rPr>
              <w:t>的窗户</w:t>
            </w:r>
            <w:r>
              <w:rPr>
                <w:rFonts w:hint="eastAsia" w:ascii="宋体" w:hAnsi="宋体" w:eastAsia="宋体" w:cs="宋体"/>
                <w:i w:val="0"/>
                <w:iCs w:val="0"/>
                <w:caps w:val="0"/>
                <w:color w:val="auto"/>
                <w:spacing w:val="0"/>
                <w:kern w:val="0"/>
                <w:sz w:val="18"/>
                <w:szCs w:val="18"/>
                <w:shd w:val="clear" w:color="auto" w:fill="FFFFFF"/>
                <w:lang w:val="en-US" w:eastAsia="zh-CN" w:bidi="zh-CN"/>
              </w:rPr>
              <w:t>或</w:t>
            </w:r>
            <w:r>
              <w:rPr>
                <w:rFonts w:hint="eastAsia" w:ascii="宋体" w:hAnsi="宋体" w:eastAsia="宋体" w:cs="宋体"/>
                <w:i w:val="0"/>
                <w:iCs w:val="0"/>
                <w:caps w:val="0"/>
                <w:color w:val="auto"/>
                <w:spacing w:val="0"/>
                <w:kern w:val="0"/>
                <w:sz w:val="18"/>
                <w:szCs w:val="18"/>
                <w:shd w:val="clear" w:color="auto" w:fill="FFFFFF"/>
                <w:lang w:val="zh-CN" w:eastAsia="zh-CN" w:bidi="zh-CN"/>
              </w:rPr>
              <w:t>栏杆案例</w:t>
            </w:r>
            <w:r>
              <w:rPr>
                <w:rFonts w:hint="eastAsia" w:ascii="宋体" w:hAnsi="宋体" w:eastAsia="宋体" w:cs="宋体"/>
                <w:i w:val="0"/>
                <w:iCs w:val="0"/>
                <w:caps w:val="0"/>
                <w:color w:val="auto"/>
                <w:spacing w:val="0"/>
                <w:kern w:val="0"/>
                <w:sz w:val="18"/>
                <w:szCs w:val="18"/>
                <w:shd w:val="clear" w:color="auto" w:fill="FFFFFF"/>
                <w:lang w:val="en-US" w:eastAsia="zh-CN" w:bidi="zh-CN"/>
              </w:rPr>
              <w:t>得5分，</w:t>
            </w:r>
            <w:r>
              <w:rPr>
                <w:rFonts w:hint="eastAsia" w:asciiTheme="minorEastAsia" w:hAnsiTheme="minorEastAsia"/>
                <w:sz w:val="18"/>
                <w:szCs w:val="18"/>
                <w:lang w:val="en-US" w:eastAsia="zh-CN"/>
              </w:rPr>
              <w:t>每多</w:t>
            </w:r>
            <w:r>
              <w:rPr>
                <w:rFonts w:hint="default" w:asciiTheme="minorEastAsia" w:hAnsiTheme="minorEastAsia"/>
                <w:sz w:val="18"/>
                <w:szCs w:val="18"/>
              </w:rPr>
              <w:t>1</w:t>
            </w:r>
            <w:r>
              <w:rPr>
                <w:rFonts w:hint="eastAsia" w:asciiTheme="minorEastAsia" w:hAnsiTheme="minorEastAsia"/>
                <w:sz w:val="18"/>
                <w:szCs w:val="18"/>
                <w:lang w:val="en-US" w:eastAsia="zh-CN"/>
              </w:rPr>
              <w:t>项业绩</w:t>
            </w:r>
            <w:r>
              <w:rPr>
                <w:rFonts w:hint="default" w:asciiTheme="minorEastAsia" w:hAnsiTheme="minorEastAsia"/>
                <w:sz w:val="18"/>
                <w:szCs w:val="18"/>
              </w:rPr>
              <w:t>加</w:t>
            </w:r>
            <w:r>
              <w:rPr>
                <w:rFonts w:hint="eastAsia" w:asciiTheme="minorEastAsia" w:hAnsiTheme="minorEastAsia"/>
                <w:sz w:val="18"/>
                <w:szCs w:val="18"/>
                <w:lang w:val="en-US" w:eastAsia="zh-CN"/>
              </w:rPr>
              <w:t>1</w:t>
            </w:r>
            <w:r>
              <w:rPr>
                <w:rFonts w:hint="default" w:asciiTheme="minorEastAsia" w:hAnsiTheme="minorEastAsia"/>
                <w:sz w:val="18"/>
                <w:szCs w:val="18"/>
              </w:rPr>
              <w:t>分，满分</w:t>
            </w:r>
            <w:r>
              <w:rPr>
                <w:rFonts w:hint="eastAsia" w:asciiTheme="minorEastAsia" w:hAnsiTheme="minorEastAsia"/>
                <w:sz w:val="18"/>
                <w:szCs w:val="18"/>
                <w:lang w:val="en-US" w:eastAsia="zh-CN"/>
              </w:rPr>
              <w:t>10</w:t>
            </w:r>
            <w:r>
              <w:rPr>
                <w:rFonts w:hint="default" w:asciiTheme="minorEastAsia" w:hAnsiTheme="minorEastAsia"/>
                <w:sz w:val="18"/>
                <w:szCs w:val="18"/>
              </w:rPr>
              <w:t>分。</w:t>
            </w:r>
          </w:p>
        </w:tc>
        <w:tc>
          <w:tcPr>
            <w:tcW w:w="583" w:type="pct"/>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00371EF9">
            <w:pPr>
              <w:snapToGrid w:val="0"/>
              <w:jc w:val="center"/>
              <w:rPr>
                <w:rFonts w:ascii="宋体" w:hAnsi="宋体" w:eastAsia="宋体" w:cs="Times New Roman"/>
                <w:sz w:val="24"/>
                <w:szCs w:val="24"/>
              </w:rPr>
            </w:pPr>
          </w:p>
        </w:tc>
        <w:tc>
          <w:tcPr>
            <w:tcW w:w="402" w:type="pct"/>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4AB224DB">
            <w:pPr>
              <w:snapToGrid w:val="0"/>
              <w:jc w:val="center"/>
              <w:rPr>
                <w:rFonts w:hint="default" w:ascii="宋体" w:hAnsi="宋体" w:eastAsia="宋体" w:cs="Times New Roman"/>
                <w:sz w:val="24"/>
                <w:szCs w:val="24"/>
                <w:lang w:val="en-US"/>
              </w:rPr>
            </w:pPr>
            <w:r>
              <w:rPr>
                <w:rFonts w:hint="eastAsia" w:ascii="宋体" w:hAnsi="宋体" w:eastAsia="宋体" w:cs="Times New Roman"/>
                <w:sz w:val="24"/>
                <w:szCs w:val="24"/>
                <w:lang w:val="en-US" w:eastAsia="zh-CN"/>
              </w:rPr>
              <w:t>10</w:t>
            </w:r>
          </w:p>
        </w:tc>
        <w:tc>
          <w:tcPr>
            <w:tcW w:w="462" w:type="pct"/>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59438209">
            <w:pPr>
              <w:snapToGrid w:val="0"/>
              <w:jc w:val="center"/>
              <w:rPr>
                <w:rFonts w:ascii="宋体" w:hAnsi="宋体" w:eastAsia="宋体" w:cs="Times New Roman"/>
                <w:sz w:val="24"/>
                <w:szCs w:val="24"/>
              </w:rPr>
            </w:pPr>
          </w:p>
        </w:tc>
      </w:tr>
      <w:tr w14:paraId="0C7F6ACD">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472" w:type="pct"/>
            <w:tcBorders>
              <w:top w:val="single" w:color="auto" w:sz="4" w:space="0"/>
              <w:left w:val="single" w:color="auto" w:sz="4" w:space="0"/>
              <w:bottom w:val="single" w:color="auto" w:sz="4" w:space="0"/>
              <w:right w:val="single" w:color="auto" w:sz="4" w:space="0"/>
            </w:tcBorders>
            <w:vAlign w:val="center"/>
          </w:tcPr>
          <w:p w14:paraId="6FF733CB">
            <w:pPr>
              <w:snapToGrid w:val="0"/>
              <w:rPr>
                <w:rFonts w:ascii="宋体" w:hAnsi="宋体" w:eastAsia="宋体" w:cs="Times New Roman"/>
                <w:sz w:val="24"/>
              </w:rPr>
            </w:pPr>
          </w:p>
        </w:tc>
        <w:tc>
          <w:tcPr>
            <w:tcW w:w="349" w:type="pct"/>
            <w:tcBorders>
              <w:top w:val="single" w:color="auto" w:sz="4" w:space="0"/>
              <w:left w:val="single" w:color="auto" w:sz="4" w:space="0"/>
              <w:bottom w:val="single" w:color="auto" w:sz="4" w:space="0"/>
              <w:right w:val="single" w:color="auto" w:sz="4" w:space="0"/>
            </w:tcBorders>
            <w:vAlign w:val="center"/>
          </w:tcPr>
          <w:p w14:paraId="463DB701">
            <w:pPr>
              <w:snapToGrid w:val="0"/>
              <w:jc w:val="center"/>
              <w:rPr>
                <w:rFonts w:ascii="宋体" w:hAnsi="宋体" w:eastAsia="宋体" w:cs="Times New Roman"/>
                <w:sz w:val="24"/>
              </w:rPr>
            </w:pPr>
          </w:p>
        </w:tc>
        <w:tc>
          <w:tcPr>
            <w:tcW w:w="982" w:type="pct"/>
            <w:tcBorders>
              <w:top w:val="single" w:color="auto" w:sz="4" w:space="0"/>
              <w:left w:val="single" w:color="auto" w:sz="4" w:space="0"/>
              <w:bottom w:val="single" w:color="auto" w:sz="4" w:space="0"/>
              <w:right w:val="single" w:color="auto" w:sz="4" w:space="0"/>
            </w:tcBorders>
            <w:vAlign w:val="center"/>
          </w:tcPr>
          <w:p w14:paraId="4D4FAB4E">
            <w:pPr>
              <w:snapToGrid w:val="0"/>
              <w:jc w:val="center"/>
              <w:rPr>
                <w:rFonts w:hint="eastAsia" w:asciiTheme="minorEastAsia" w:hAnsiTheme="minorEastAsia"/>
                <w:sz w:val="18"/>
                <w:szCs w:val="18"/>
                <w:lang w:val="en-US" w:eastAsia="zh-CN"/>
              </w:rPr>
            </w:pPr>
            <w:r>
              <w:rPr>
                <w:rFonts w:hint="default" w:eastAsia="宋体" w:asciiTheme="minorEastAsia" w:hAnsiTheme="minorEastAsia"/>
                <w:sz w:val="24"/>
                <w:szCs w:val="24"/>
                <w:lang w:val="en-US" w:eastAsia="zh-CN"/>
              </w:rPr>
              <w:t>营收规模</w:t>
            </w:r>
          </w:p>
        </w:tc>
        <w:tc>
          <w:tcPr>
            <w:tcW w:w="1746" w:type="pct"/>
            <w:tcBorders>
              <w:top w:val="single" w:color="auto" w:sz="4" w:space="0"/>
              <w:left w:val="single" w:color="auto" w:sz="4" w:space="0"/>
              <w:bottom w:val="single" w:color="auto" w:sz="4" w:space="0"/>
              <w:right w:val="single" w:color="auto" w:sz="4" w:space="0"/>
            </w:tcBorders>
            <w:vAlign w:val="center"/>
          </w:tcPr>
          <w:p w14:paraId="02D2BDB2">
            <w:pPr>
              <w:snapToGrid w:val="0"/>
              <w:jc w:val="left"/>
              <w:rPr>
                <w:rFonts w:hint="eastAsia" w:asciiTheme="minorEastAsia" w:hAnsiTheme="minorEastAsia"/>
                <w:sz w:val="18"/>
                <w:szCs w:val="18"/>
                <w:lang w:val="en-US" w:eastAsia="zh-CN"/>
              </w:rPr>
            </w:pPr>
            <w:r>
              <w:rPr>
                <w:rFonts w:hint="eastAsia" w:asciiTheme="minorEastAsia" w:hAnsiTheme="minorEastAsia"/>
                <w:sz w:val="18"/>
                <w:szCs w:val="18"/>
                <w:lang w:val="en-US" w:eastAsia="zh-CN"/>
              </w:rPr>
              <w:t>1.</w:t>
            </w:r>
            <w:r>
              <w:rPr>
                <w:rFonts w:hint="default" w:asciiTheme="minorEastAsia" w:hAnsiTheme="minorEastAsia"/>
                <w:sz w:val="18"/>
                <w:szCs w:val="18"/>
                <w:lang w:val="en-US" w:eastAsia="zh-CN"/>
              </w:rPr>
              <w:t>提供完整的近三年</w:t>
            </w:r>
            <w:r>
              <w:rPr>
                <w:rFonts w:hint="eastAsia" w:asciiTheme="minorEastAsia" w:hAnsiTheme="minorEastAsia"/>
                <w:sz w:val="18"/>
                <w:szCs w:val="18"/>
                <w:lang w:val="en-US" w:eastAsia="zh-CN"/>
              </w:rPr>
              <w:t>财务报表</w:t>
            </w:r>
            <w:r>
              <w:rPr>
                <w:rFonts w:hint="default" w:asciiTheme="minorEastAsia" w:hAnsiTheme="minorEastAsia"/>
                <w:sz w:val="18"/>
                <w:szCs w:val="18"/>
                <w:lang w:val="en-US" w:eastAsia="zh-CN"/>
              </w:rPr>
              <w:t>，数据真实有效</w:t>
            </w:r>
            <w:r>
              <w:rPr>
                <w:rFonts w:hint="eastAsia" w:asciiTheme="minorEastAsia" w:hAnsiTheme="minorEastAsia"/>
                <w:sz w:val="18"/>
                <w:szCs w:val="18"/>
                <w:lang w:val="en-US" w:eastAsia="zh-CN"/>
              </w:rPr>
              <w:t>，财务报表显示的年均营业收入≥1500万元，得10分。</w:t>
            </w:r>
          </w:p>
          <w:p w14:paraId="1065EF17">
            <w:pPr>
              <w:snapToGrid w:val="0"/>
              <w:jc w:val="left"/>
              <w:rPr>
                <w:rFonts w:hint="eastAsia" w:asciiTheme="minorEastAsia" w:hAnsiTheme="minorEastAsia"/>
                <w:sz w:val="18"/>
                <w:szCs w:val="18"/>
                <w:lang w:val="en-US" w:eastAsia="zh-CN"/>
              </w:rPr>
            </w:pPr>
            <w:r>
              <w:rPr>
                <w:rFonts w:hint="eastAsia" w:asciiTheme="minorEastAsia" w:hAnsiTheme="minorEastAsia"/>
                <w:sz w:val="18"/>
                <w:szCs w:val="18"/>
                <w:lang w:val="en-US" w:eastAsia="zh-CN"/>
              </w:rPr>
              <w:t>2.</w:t>
            </w:r>
            <w:r>
              <w:rPr>
                <w:rFonts w:hint="default" w:asciiTheme="minorEastAsia" w:hAnsiTheme="minorEastAsia"/>
                <w:sz w:val="18"/>
                <w:szCs w:val="18"/>
                <w:lang w:val="en-US" w:eastAsia="zh-CN"/>
              </w:rPr>
              <w:t>提供完整的近三年</w:t>
            </w:r>
            <w:r>
              <w:rPr>
                <w:rFonts w:hint="eastAsia" w:asciiTheme="minorEastAsia" w:hAnsiTheme="minorEastAsia"/>
                <w:sz w:val="18"/>
                <w:szCs w:val="18"/>
                <w:lang w:val="en-US" w:eastAsia="zh-CN"/>
              </w:rPr>
              <w:t>财务报表</w:t>
            </w:r>
            <w:r>
              <w:rPr>
                <w:rFonts w:hint="default" w:asciiTheme="minorEastAsia" w:hAnsiTheme="minorEastAsia"/>
                <w:sz w:val="18"/>
                <w:szCs w:val="18"/>
                <w:lang w:val="en-US" w:eastAsia="zh-CN"/>
              </w:rPr>
              <w:t>，数据真实有效</w:t>
            </w:r>
            <w:r>
              <w:rPr>
                <w:rFonts w:hint="eastAsia" w:asciiTheme="minorEastAsia" w:hAnsiTheme="minorEastAsia"/>
                <w:sz w:val="18"/>
                <w:szCs w:val="18"/>
                <w:lang w:val="en-US" w:eastAsia="zh-CN"/>
              </w:rPr>
              <w:t>，财务报表显示的年均营业收入</w:t>
            </w:r>
            <w:r>
              <w:rPr>
                <w:rFonts w:hint="default" w:asciiTheme="minorEastAsia" w:hAnsiTheme="minorEastAsia"/>
                <w:sz w:val="18"/>
                <w:szCs w:val="18"/>
                <w:lang w:val="en-US" w:eastAsia="zh-CN"/>
              </w:rPr>
              <w:t>在</w:t>
            </w:r>
            <w:r>
              <w:rPr>
                <w:rFonts w:hint="eastAsia" w:asciiTheme="minorEastAsia" w:hAnsiTheme="minorEastAsia"/>
                <w:sz w:val="18"/>
                <w:szCs w:val="18"/>
                <w:lang w:val="en-US" w:eastAsia="zh-CN"/>
              </w:rPr>
              <w:t>1500</w:t>
            </w:r>
            <w:r>
              <w:rPr>
                <w:rFonts w:hint="default" w:asciiTheme="minorEastAsia" w:hAnsiTheme="minorEastAsia"/>
                <w:sz w:val="18"/>
                <w:szCs w:val="18"/>
                <w:lang w:val="en-US" w:eastAsia="zh-CN"/>
              </w:rPr>
              <w:t>万元至</w:t>
            </w:r>
            <w:r>
              <w:rPr>
                <w:rFonts w:hint="eastAsia" w:asciiTheme="minorEastAsia" w:hAnsiTheme="minorEastAsia"/>
                <w:sz w:val="18"/>
                <w:szCs w:val="18"/>
                <w:lang w:val="en-US" w:eastAsia="zh-CN"/>
              </w:rPr>
              <w:t>1000</w:t>
            </w:r>
            <w:r>
              <w:rPr>
                <w:rFonts w:hint="default" w:asciiTheme="minorEastAsia" w:hAnsiTheme="minorEastAsia"/>
                <w:sz w:val="18"/>
                <w:szCs w:val="18"/>
                <w:lang w:val="en-US" w:eastAsia="zh-CN"/>
              </w:rPr>
              <w:t>万元（含）之间</w:t>
            </w:r>
            <w:r>
              <w:rPr>
                <w:rFonts w:hint="eastAsia" w:asciiTheme="minorEastAsia" w:hAnsiTheme="minorEastAsia"/>
                <w:sz w:val="18"/>
                <w:szCs w:val="18"/>
                <w:lang w:val="en-US" w:eastAsia="zh-CN"/>
              </w:rPr>
              <w:t>，得7分。</w:t>
            </w:r>
          </w:p>
          <w:p w14:paraId="5F87F5FE">
            <w:pPr>
              <w:snapToGrid w:val="0"/>
              <w:jc w:val="left"/>
              <w:rPr>
                <w:rFonts w:hint="default" w:asciiTheme="minorEastAsia" w:hAnsiTheme="minorEastAsia"/>
                <w:sz w:val="18"/>
                <w:szCs w:val="18"/>
                <w:lang w:val="en-US" w:eastAsia="zh-CN"/>
              </w:rPr>
            </w:pPr>
            <w:r>
              <w:rPr>
                <w:rFonts w:hint="eastAsia" w:asciiTheme="minorEastAsia" w:hAnsiTheme="minorEastAsia"/>
                <w:sz w:val="18"/>
                <w:szCs w:val="18"/>
                <w:lang w:val="en-US" w:eastAsia="zh-CN"/>
              </w:rPr>
              <w:t>3.</w:t>
            </w:r>
            <w:r>
              <w:rPr>
                <w:rFonts w:hint="default" w:asciiTheme="minorEastAsia" w:hAnsiTheme="minorEastAsia"/>
                <w:sz w:val="18"/>
                <w:szCs w:val="18"/>
                <w:lang w:val="en-US" w:eastAsia="zh-CN"/>
              </w:rPr>
              <w:t>提供近三年财务证明文件，但可能存在年份缺失、仅为税表等情况。年均营业收入在</w:t>
            </w:r>
            <w:r>
              <w:rPr>
                <w:rFonts w:hint="eastAsia" w:asciiTheme="minorEastAsia" w:hAnsiTheme="minorEastAsia"/>
                <w:sz w:val="18"/>
                <w:szCs w:val="18"/>
                <w:lang w:val="en-US" w:eastAsia="zh-CN"/>
              </w:rPr>
              <w:t>1000</w:t>
            </w:r>
            <w:r>
              <w:rPr>
                <w:rFonts w:hint="default" w:asciiTheme="minorEastAsia" w:hAnsiTheme="minorEastAsia"/>
                <w:sz w:val="18"/>
                <w:szCs w:val="18"/>
                <w:lang w:val="en-US" w:eastAsia="zh-CN"/>
              </w:rPr>
              <w:t>万元至</w:t>
            </w:r>
            <w:r>
              <w:rPr>
                <w:rFonts w:hint="eastAsia" w:asciiTheme="minorEastAsia" w:hAnsiTheme="minorEastAsia"/>
                <w:sz w:val="18"/>
                <w:szCs w:val="18"/>
                <w:lang w:val="en-US" w:eastAsia="zh-CN"/>
              </w:rPr>
              <w:t>500</w:t>
            </w:r>
            <w:r>
              <w:rPr>
                <w:rFonts w:hint="default" w:asciiTheme="minorEastAsia" w:hAnsiTheme="minorEastAsia"/>
                <w:sz w:val="18"/>
                <w:szCs w:val="18"/>
                <w:lang w:val="en-US" w:eastAsia="zh-CN"/>
              </w:rPr>
              <w:t>万元（含）之间</w:t>
            </w:r>
            <w:r>
              <w:rPr>
                <w:rFonts w:hint="eastAsia" w:asciiTheme="minorEastAsia" w:hAnsiTheme="minorEastAsia"/>
                <w:sz w:val="18"/>
                <w:szCs w:val="18"/>
                <w:lang w:val="en-US" w:eastAsia="zh-CN"/>
              </w:rPr>
              <w:t>，得5分</w:t>
            </w:r>
          </w:p>
          <w:p w14:paraId="4801FE6D">
            <w:pPr>
              <w:snapToGrid w:val="0"/>
              <w:jc w:val="left"/>
              <w:rPr>
                <w:rFonts w:hint="default"/>
                <w:lang w:val="en-US" w:eastAsia="zh-CN"/>
              </w:rPr>
            </w:pPr>
            <w:r>
              <w:rPr>
                <w:rFonts w:hint="eastAsia" w:asciiTheme="minorEastAsia" w:hAnsiTheme="minorEastAsia"/>
                <w:sz w:val="18"/>
                <w:szCs w:val="18"/>
                <w:lang w:val="en-US" w:eastAsia="zh-CN"/>
              </w:rPr>
              <w:t>4.有以下情况之一，得0分：(1)</w:t>
            </w:r>
            <w:r>
              <w:rPr>
                <w:rFonts w:hint="default" w:asciiTheme="minorEastAsia" w:hAnsiTheme="minorEastAsia"/>
                <w:sz w:val="18"/>
                <w:szCs w:val="18"/>
                <w:lang w:val="en-US" w:eastAsia="zh-CN"/>
              </w:rPr>
              <w:t>未按要求提供近三年</w:t>
            </w:r>
            <w:r>
              <w:rPr>
                <w:rFonts w:hint="eastAsia" w:asciiTheme="minorEastAsia" w:hAnsiTheme="minorEastAsia"/>
                <w:sz w:val="18"/>
                <w:szCs w:val="18"/>
                <w:lang w:val="en-US" w:eastAsia="zh-CN"/>
              </w:rPr>
              <w:t>财务报表</w:t>
            </w:r>
            <w:r>
              <w:rPr>
                <w:rFonts w:hint="default" w:asciiTheme="minorEastAsia" w:hAnsiTheme="minorEastAsia"/>
                <w:sz w:val="18"/>
                <w:szCs w:val="18"/>
                <w:lang w:val="en-US" w:eastAsia="zh-CN"/>
              </w:rPr>
              <w:t>或税务申报表；</w:t>
            </w:r>
            <w:r>
              <w:rPr>
                <w:rFonts w:hint="eastAsia" w:asciiTheme="minorEastAsia" w:hAnsiTheme="minorEastAsia"/>
                <w:sz w:val="18"/>
                <w:szCs w:val="18"/>
                <w:lang w:val="en-US" w:eastAsia="zh-CN"/>
              </w:rPr>
              <w:t>(2)</w:t>
            </w:r>
            <w:r>
              <w:rPr>
                <w:rFonts w:hint="default" w:asciiTheme="minorEastAsia" w:hAnsiTheme="minorEastAsia"/>
                <w:sz w:val="18"/>
                <w:szCs w:val="18"/>
                <w:lang w:val="en-US" w:eastAsia="zh-CN"/>
              </w:rPr>
              <w:t>提供的财务数据经比对存在明显矛盾或瑕疵，真实性存疑；</w:t>
            </w:r>
            <w:r>
              <w:rPr>
                <w:rFonts w:hint="eastAsia" w:asciiTheme="minorEastAsia" w:hAnsiTheme="minorEastAsia"/>
                <w:sz w:val="18"/>
                <w:szCs w:val="18"/>
                <w:lang w:val="en-US" w:eastAsia="zh-CN"/>
              </w:rPr>
              <w:t>(3)</w:t>
            </w:r>
            <w:r>
              <w:rPr>
                <w:rFonts w:hint="default" w:asciiTheme="minorEastAsia" w:hAnsiTheme="minorEastAsia"/>
                <w:sz w:val="18"/>
                <w:szCs w:val="18"/>
                <w:lang w:val="en-US" w:eastAsia="zh-CN"/>
              </w:rPr>
              <w:t>年均营业收入低于</w:t>
            </w:r>
            <w:r>
              <w:rPr>
                <w:rFonts w:hint="eastAsia" w:asciiTheme="minorEastAsia" w:hAnsiTheme="minorEastAsia"/>
                <w:sz w:val="18"/>
                <w:szCs w:val="18"/>
                <w:lang w:val="en-US" w:eastAsia="zh-CN"/>
              </w:rPr>
              <w:t>500</w:t>
            </w:r>
            <w:r>
              <w:rPr>
                <w:rFonts w:hint="default" w:asciiTheme="minorEastAsia" w:hAnsiTheme="minorEastAsia"/>
                <w:sz w:val="18"/>
                <w:szCs w:val="18"/>
                <w:lang w:val="en-US" w:eastAsia="zh-CN"/>
              </w:rPr>
              <w:t>万元</w:t>
            </w:r>
            <w:r>
              <w:rPr>
                <w:rFonts w:hint="eastAsia" w:asciiTheme="minorEastAsia" w:hAnsiTheme="minorEastAsia"/>
                <w:sz w:val="18"/>
                <w:szCs w:val="18"/>
                <w:lang w:val="en-US" w:eastAsia="zh-CN"/>
              </w:rPr>
              <w:t>。</w:t>
            </w:r>
          </w:p>
        </w:tc>
        <w:tc>
          <w:tcPr>
            <w:tcW w:w="583" w:type="pct"/>
            <w:tcBorders>
              <w:top w:val="single" w:color="auto" w:sz="4" w:space="0"/>
              <w:left w:val="single" w:color="auto" w:sz="4" w:space="0"/>
              <w:bottom w:val="single" w:color="auto" w:sz="4" w:space="0"/>
              <w:right w:val="single" w:color="auto" w:sz="4" w:space="0"/>
            </w:tcBorders>
            <w:vAlign w:val="center"/>
          </w:tcPr>
          <w:p w14:paraId="76EBC2BE">
            <w:pPr>
              <w:snapToGrid w:val="0"/>
              <w:jc w:val="center"/>
              <w:rPr>
                <w:rFonts w:ascii="宋体" w:hAnsi="宋体" w:eastAsia="宋体" w:cs="Times New Roman"/>
                <w:sz w:val="24"/>
                <w:szCs w:val="24"/>
              </w:rPr>
            </w:pPr>
          </w:p>
        </w:tc>
        <w:tc>
          <w:tcPr>
            <w:tcW w:w="402" w:type="pct"/>
            <w:tcBorders>
              <w:top w:val="single" w:color="auto" w:sz="4" w:space="0"/>
              <w:left w:val="single" w:color="auto" w:sz="4" w:space="0"/>
              <w:bottom w:val="single" w:color="auto" w:sz="4" w:space="0"/>
              <w:right w:val="single" w:color="auto" w:sz="4" w:space="0"/>
            </w:tcBorders>
            <w:vAlign w:val="center"/>
          </w:tcPr>
          <w:p w14:paraId="300F03CC">
            <w:pPr>
              <w:snapToGrid w:val="0"/>
              <w:jc w:val="center"/>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10</w:t>
            </w:r>
          </w:p>
        </w:tc>
        <w:tc>
          <w:tcPr>
            <w:tcW w:w="462" w:type="pct"/>
            <w:tcBorders>
              <w:top w:val="single" w:color="auto" w:sz="4" w:space="0"/>
              <w:left w:val="single" w:color="auto" w:sz="4" w:space="0"/>
              <w:bottom w:val="single" w:color="auto" w:sz="4" w:space="0"/>
              <w:right w:val="single" w:color="auto" w:sz="4" w:space="0"/>
            </w:tcBorders>
            <w:vAlign w:val="center"/>
          </w:tcPr>
          <w:p w14:paraId="14025592">
            <w:pPr>
              <w:snapToGrid w:val="0"/>
              <w:jc w:val="center"/>
              <w:rPr>
                <w:rFonts w:ascii="宋体" w:hAnsi="宋体" w:eastAsia="宋体" w:cs="Times New Roman"/>
                <w:sz w:val="24"/>
                <w:szCs w:val="24"/>
              </w:rPr>
            </w:pPr>
          </w:p>
        </w:tc>
      </w:tr>
      <w:tr w14:paraId="48336BF6">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472" w:type="pct"/>
            <w:tcBorders>
              <w:top w:val="single" w:color="auto" w:sz="4" w:space="0"/>
              <w:left w:val="single" w:color="auto" w:sz="4" w:space="0"/>
              <w:bottom w:val="single" w:color="auto" w:sz="4" w:space="0"/>
              <w:right w:val="single" w:color="auto" w:sz="4" w:space="0"/>
            </w:tcBorders>
            <w:vAlign w:val="center"/>
          </w:tcPr>
          <w:p w14:paraId="20ADFFD4">
            <w:pPr>
              <w:snapToGrid w:val="0"/>
              <w:rPr>
                <w:rFonts w:ascii="宋体" w:hAnsi="宋体" w:eastAsia="宋体" w:cs="Times New Roman"/>
                <w:sz w:val="24"/>
              </w:rPr>
            </w:pPr>
          </w:p>
        </w:tc>
        <w:tc>
          <w:tcPr>
            <w:tcW w:w="349" w:type="pct"/>
            <w:tcBorders>
              <w:top w:val="single" w:color="auto" w:sz="4" w:space="0"/>
              <w:left w:val="single" w:color="auto" w:sz="4" w:space="0"/>
              <w:bottom w:val="single" w:color="auto" w:sz="4" w:space="0"/>
              <w:right w:val="single" w:color="auto" w:sz="4" w:space="0"/>
            </w:tcBorders>
            <w:vAlign w:val="center"/>
          </w:tcPr>
          <w:p w14:paraId="5F7C46CD">
            <w:pPr>
              <w:snapToGrid w:val="0"/>
              <w:jc w:val="center"/>
              <w:rPr>
                <w:rFonts w:ascii="宋体" w:hAnsi="宋体" w:eastAsia="宋体" w:cs="Times New Roman"/>
                <w:sz w:val="24"/>
              </w:rPr>
            </w:pPr>
          </w:p>
        </w:tc>
        <w:tc>
          <w:tcPr>
            <w:tcW w:w="982" w:type="pct"/>
            <w:tcBorders>
              <w:top w:val="single" w:color="auto" w:sz="4" w:space="0"/>
              <w:left w:val="single" w:color="auto" w:sz="4" w:space="0"/>
              <w:bottom w:val="single" w:color="auto" w:sz="4" w:space="0"/>
              <w:right w:val="single" w:color="auto" w:sz="4" w:space="0"/>
            </w:tcBorders>
            <w:vAlign w:val="center"/>
          </w:tcPr>
          <w:p w14:paraId="27E92145">
            <w:pPr>
              <w:snapToGrid w:val="0"/>
              <w:jc w:val="center"/>
              <w:rPr>
                <w:rFonts w:hint="eastAsia" w:ascii="宋体" w:hAnsi="宋体" w:eastAsia="宋体" w:cs="Times New Roman"/>
                <w:sz w:val="24"/>
                <w:szCs w:val="24"/>
              </w:rPr>
            </w:pPr>
            <w:r>
              <w:rPr>
                <w:rFonts w:hint="eastAsia" w:ascii="宋体" w:hAnsi="宋体" w:eastAsia="宋体" w:cs="Times New Roman"/>
                <w:sz w:val="24"/>
                <w:szCs w:val="24"/>
              </w:rPr>
              <w:t>合计</w:t>
            </w:r>
          </w:p>
        </w:tc>
        <w:tc>
          <w:tcPr>
            <w:tcW w:w="1746" w:type="pct"/>
            <w:tcBorders>
              <w:top w:val="single" w:color="auto" w:sz="4" w:space="0"/>
              <w:left w:val="single" w:color="auto" w:sz="4" w:space="0"/>
              <w:bottom w:val="single" w:color="auto" w:sz="4" w:space="0"/>
              <w:right w:val="single" w:color="auto" w:sz="4" w:space="0"/>
            </w:tcBorders>
            <w:vAlign w:val="center"/>
          </w:tcPr>
          <w:p w14:paraId="4D501C4B">
            <w:pPr>
              <w:snapToGrid w:val="0"/>
              <w:jc w:val="left"/>
              <w:rPr>
                <w:rFonts w:ascii="宋体" w:hAnsi="宋体" w:eastAsia="宋体" w:cs="Times New Roman"/>
                <w:sz w:val="24"/>
                <w:szCs w:val="24"/>
              </w:rPr>
            </w:pPr>
          </w:p>
        </w:tc>
        <w:tc>
          <w:tcPr>
            <w:tcW w:w="583" w:type="pct"/>
            <w:tcBorders>
              <w:top w:val="single" w:color="auto" w:sz="4" w:space="0"/>
              <w:left w:val="single" w:color="auto" w:sz="4" w:space="0"/>
              <w:bottom w:val="single" w:color="auto" w:sz="4" w:space="0"/>
              <w:right w:val="single" w:color="auto" w:sz="4" w:space="0"/>
            </w:tcBorders>
            <w:vAlign w:val="center"/>
          </w:tcPr>
          <w:p w14:paraId="425423F3">
            <w:pPr>
              <w:snapToGrid w:val="0"/>
              <w:jc w:val="center"/>
              <w:rPr>
                <w:rFonts w:ascii="宋体" w:hAnsi="宋体" w:eastAsia="宋体" w:cs="Times New Roman"/>
                <w:sz w:val="24"/>
                <w:szCs w:val="24"/>
              </w:rPr>
            </w:pPr>
          </w:p>
        </w:tc>
        <w:tc>
          <w:tcPr>
            <w:tcW w:w="402" w:type="pct"/>
            <w:tcBorders>
              <w:top w:val="single" w:color="auto" w:sz="4" w:space="0"/>
              <w:left w:val="single" w:color="auto" w:sz="4" w:space="0"/>
              <w:bottom w:val="single" w:color="auto" w:sz="4" w:space="0"/>
              <w:right w:val="single" w:color="auto" w:sz="4" w:space="0"/>
            </w:tcBorders>
            <w:vAlign w:val="center"/>
          </w:tcPr>
          <w:p w14:paraId="63249FC4">
            <w:pPr>
              <w:snapToGrid w:val="0"/>
              <w:jc w:val="center"/>
              <w:rPr>
                <w:rFonts w:hint="eastAsia" w:ascii="宋体" w:hAnsi="宋体" w:eastAsia="宋体" w:cs="Times New Roman"/>
                <w:sz w:val="24"/>
                <w:szCs w:val="24"/>
              </w:rPr>
            </w:pPr>
            <w:r>
              <w:rPr>
                <w:rFonts w:hint="eastAsia" w:ascii="宋体" w:hAnsi="宋体" w:eastAsia="宋体" w:cs="Times New Roman"/>
                <w:sz w:val="24"/>
                <w:szCs w:val="24"/>
              </w:rPr>
              <w:t>100</w:t>
            </w:r>
          </w:p>
        </w:tc>
        <w:tc>
          <w:tcPr>
            <w:tcW w:w="462" w:type="pct"/>
            <w:tcBorders>
              <w:top w:val="single" w:color="auto" w:sz="4" w:space="0"/>
              <w:left w:val="single" w:color="auto" w:sz="4" w:space="0"/>
              <w:bottom w:val="single" w:color="auto" w:sz="4" w:space="0"/>
              <w:right w:val="single" w:color="auto" w:sz="4" w:space="0"/>
            </w:tcBorders>
            <w:vAlign w:val="center"/>
          </w:tcPr>
          <w:p w14:paraId="63C3506C">
            <w:pPr>
              <w:snapToGrid w:val="0"/>
              <w:jc w:val="center"/>
              <w:rPr>
                <w:rFonts w:ascii="宋体" w:hAnsi="宋体" w:eastAsia="宋体" w:cs="Times New Roman"/>
                <w:sz w:val="24"/>
                <w:szCs w:val="24"/>
              </w:rPr>
            </w:pPr>
          </w:p>
        </w:tc>
      </w:tr>
    </w:tbl>
    <w:p w14:paraId="19C6A608">
      <w:pPr>
        <w:rPr>
          <w:rFonts w:ascii="Times New Roman" w:hAnsi="Times New Roman" w:eastAsia="宋体" w:cs="Times New Roman"/>
          <w:sz w:val="24"/>
          <w:szCs w:val="32"/>
        </w:rPr>
      </w:pPr>
      <w:r>
        <w:rPr>
          <w:rFonts w:hint="eastAsia" w:ascii="Times New Roman" w:hAnsi="Times New Roman" w:eastAsia="宋体" w:cs="Times New Roman"/>
          <w:sz w:val="24"/>
          <w:szCs w:val="32"/>
        </w:rPr>
        <w:t>考察组签名：</w:t>
      </w:r>
    </w:p>
    <w:p w14:paraId="4228AC2C">
      <w:pPr>
        <w:spacing w:line="560" w:lineRule="exact"/>
        <w:jc w:val="left"/>
        <w:rPr>
          <w:rFonts w:ascii="宋体" w:hAnsi="宋体" w:eastAsia="宋体" w:cs="Times New Roman"/>
          <w:b/>
          <w:sz w:val="24"/>
        </w:rPr>
      </w:pPr>
      <w:r>
        <w:rPr>
          <w:rFonts w:hint="eastAsia" w:ascii="宋体" w:hAnsi="宋体" w:eastAsia="宋体" w:cs="Times New Roman"/>
          <w:b/>
          <w:sz w:val="24"/>
        </w:rPr>
        <w:t>说明：</w:t>
      </w:r>
    </w:p>
    <w:p w14:paraId="5CA1B2E4">
      <w:pPr>
        <w:snapToGrid w:val="0"/>
        <w:spacing w:line="560" w:lineRule="exact"/>
        <w:ind w:firstLine="482" w:firstLineChars="200"/>
        <w:jc w:val="left"/>
        <w:rPr>
          <w:rFonts w:hint="eastAsia" w:ascii="宋体" w:hAnsi="宋体" w:eastAsia="宋体" w:cs="Times New Roman"/>
          <w:b/>
          <w:bCs/>
          <w:sz w:val="24"/>
          <w:lang w:val="en-US" w:eastAsia="zh-CN"/>
        </w:rPr>
      </w:pPr>
      <w:r>
        <w:rPr>
          <w:rFonts w:hint="eastAsia" w:ascii="宋体" w:hAnsi="宋体" w:eastAsia="宋体" w:cs="Times New Roman"/>
          <w:b/>
          <w:bCs/>
          <w:sz w:val="24"/>
        </w:rPr>
        <w:t>（1）对资料符合性检查、合法性审查不合格的</w:t>
      </w:r>
      <w:r>
        <w:rPr>
          <w:rFonts w:hint="eastAsia" w:ascii="宋体" w:hAnsi="宋体" w:eastAsia="宋体" w:cs="Times New Roman"/>
          <w:b/>
          <w:bCs/>
          <w:sz w:val="24"/>
          <w:lang w:eastAsia="zh-CN"/>
        </w:rPr>
        <w:t>合作商</w:t>
      </w:r>
      <w:r>
        <w:rPr>
          <w:rFonts w:hint="eastAsia" w:ascii="宋体" w:hAnsi="宋体" w:eastAsia="宋体" w:cs="Times New Roman"/>
          <w:b/>
          <w:bCs/>
          <w:sz w:val="24"/>
        </w:rPr>
        <w:t>实施一票否决，调查评价</w:t>
      </w:r>
      <w:r>
        <w:rPr>
          <w:rFonts w:hint="eastAsia" w:ascii="宋体" w:hAnsi="宋体" w:eastAsia="宋体" w:cs="Times New Roman"/>
          <w:b/>
          <w:bCs/>
          <w:sz w:val="24"/>
          <w:highlight w:val="none"/>
        </w:rPr>
        <w:t>小组成员不再进行评价打</w:t>
      </w:r>
      <w:r>
        <w:rPr>
          <w:rFonts w:hint="eastAsia" w:ascii="宋体" w:hAnsi="宋体" w:eastAsia="宋体" w:cs="Times New Roman"/>
          <w:b/>
          <w:bCs/>
          <w:sz w:val="24"/>
        </w:rPr>
        <w:t>分；</w:t>
      </w:r>
      <w:r>
        <w:rPr>
          <w:rFonts w:hint="eastAsia" w:ascii="宋体" w:hAnsi="宋体" w:eastAsia="宋体" w:cs="Times New Roman"/>
          <w:b/>
          <w:bCs/>
          <w:sz w:val="24"/>
          <w:lang w:val="en-US" w:eastAsia="zh-CN"/>
        </w:rPr>
        <w:t xml:space="preserve"> </w:t>
      </w:r>
    </w:p>
    <w:p w14:paraId="79374935">
      <w:pPr>
        <w:snapToGrid w:val="0"/>
        <w:spacing w:line="560" w:lineRule="exact"/>
        <w:ind w:firstLine="482" w:firstLineChars="200"/>
        <w:jc w:val="left"/>
        <w:rPr>
          <w:rFonts w:hint="eastAsia" w:ascii="宋体" w:hAnsi="宋体" w:eastAsia="宋体" w:cs="Times New Roman"/>
          <w:b/>
          <w:bCs/>
          <w:sz w:val="24"/>
          <w:lang w:val="en-US" w:eastAsia="zh-CN"/>
        </w:rPr>
      </w:pPr>
      <w:r>
        <w:rPr>
          <w:rFonts w:hint="eastAsia" w:ascii="宋体" w:hAnsi="宋体" w:eastAsia="宋体" w:cs="Times New Roman"/>
          <w:b/>
          <w:bCs/>
          <w:sz w:val="24"/>
          <w:lang w:val="en-US" w:eastAsia="zh-CN"/>
        </w:rPr>
        <w:t>（2）考察得分</w:t>
      </w:r>
      <w:bookmarkStart w:id="0" w:name="_GoBack"/>
      <w:bookmarkEnd w:id="0"/>
      <w:r>
        <w:rPr>
          <w:rFonts w:hint="eastAsia" w:ascii="宋体" w:hAnsi="宋体" w:eastAsia="宋体" w:cs="Times New Roman"/>
          <w:b/>
          <w:bCs/>
          <w:sz w:val="24"/>
          <w:lang w:val="en-US" w:eastAsia="zh-CN"/>
        </w:rPr>
        <w:t>由高至低入围排名前5家申请合格单位，若入围申请合格单位不足3家，招募人有权决定终止本次招募活动或重新组织招募；</w:t>
      </w:r>
    </w:p>
    <w:p w14:paraId="7C618DC8">
      <w:pPr>
        <w:snapToGrid w:val="0"/>
        <w:spacing w:line="560" w:lineRule="exact"/>
        <w:ind w:firstLine="482" w:firstLineChars="200"/>
        <w:jc w:val="left"/>
        <w:rPr>
          <w:rFonts w:hint="default" w:ascii="宋体" w:hAnsi="宋体" w:eastAsia="宋体" w:cs="Times New Roman"/>
          <w:b/>
          <w:bCs/>
          <w:sz w:val="24"/>
          <w:lang w:val="en-US" w:eastAsia="zh-CN"/>
        </w:rPr>
      </w:pPr>
      <w:r>
        <w:rPr>
          <w:rFonts w:hint="eastAsia" w:ascii="宋体" w:hAnsi="宋体" w:eastAsia="宋体" w:cs="Times New Roman"/>
          <w:b/>
          <w:bCs/>
          <w:sz w:val="24"/>
          <w:lang w:eastAsia="zh-CN"/>
        </w:rPr>
        <w:t>（</w:t>
      </w:r>
      <w:r>
        <w:rPr>
          <w:rFonts w:hint="eastAsia" w:ascii="宋体" w:hAnsi="宋体" w:eastAsia="宋体" w:cs="Times New Roman"/>
          <w:b/>
          <w:bCs/>
          <w:sz w:val="24"/>
          <w:lang w:val="en-US" w:eastAsia="zh-CN"/>
        </w:rPr>
        <w:t>3）考察合格的单位，招募人将对其组织实地考察，经评选小组实地考察合格后纳入</w:t>
      </w:r>
      <w:r>
        <w:rPr>
          <w:rFonts w:hint="eastAsia" w:ascii="宋体" w:hAnsi="宋体" w:eastAsia="宋体" w:cs="Times New Roman"/>
          <w:b/>
          <w:bCs/>
          <w:sz w:val="24"/>
          <w:lang w:val="zh-CN" w:eastAsia="zh-CN"/>
        </w:rPr>
        <w:t>合格供应商库</w:t>
      </w:r>
      <w:r>
        <w:rPr>
          <w:rFonts w:hint="eastAsia" w:ascii="宋体" w:hAnsi="宋体" w:eastAsia="宋体" w:cs="Times New Roman"/>
          <w:b/>
          <w:bCs/>
          <w:sz w:val="24"/>
          <w:lang w:val="en-US" w:eastAsia="zh-CN"/>
        </w:rPr>
        <w:t>。</w:t>
      </w:r>
    </w:p>
    <w:p w14:paraId="0104458B">
      <w:pPr>
        <w:pStyle w:val="12"/>
        <w:snapToGrid w:val="0"/>
        <w:spacing w:line="560" w:lineRule="atLeast"/>
        <w:ind w:left="0" w:leftChars="0" w:firstLine="482" w:firstLineChars="200"/>
        <w:jc w:val="left"/>
        <w:rPr>
          <w:rFonts w:hint="eastAsia" w:ascii="宋体" w:hAnsi="宋体" w:eastAsia="宋体" w:cs="Times New Roman"/>
          <w:b/>
          <w:bCs/>
          <w:sz w:val="24"/>
          <w:highlight w:val="none"/>
          <w:lang w:val="en-US" w:eastAsia="zh-CN"/>
        </w:rPr>
      </w:pPr>
    </w:p>
    <w:p w14:paraId="17B70E4E">
      <w:pPr>
        <w:pStyle w:val="12"/>
        <w:ind w:left="0" w:leftChars="0" w:firstLine="482"/>
        <w:rPr>
          <w:rFonts w:ascii="宋体" w:hAnsi="宋体" w:eastAsia="宋体" w:cs="Times New Roman"/>
          <w:b/>
          <w:bCs/>
          <w:sz w:val="24"/>
        </w:rPr>
      </w:pPr>
    </w:p>
    <w:p w14:paraId="6CE7EACB">
      <w:pPr>
        <w:pStyle w:val="12"/>
        <w:ind w:firstLine="482"/>
        <w:rPr>
          <w:rFonts w:ascii="宋体" w:hAnsi="宋体" w:eastAsia="宋体" w:cs="Times New Roman"/>
          <w:b/>
          <w:bCs/>
          <w:sz w:val="24"/>
        </w:rPr>
      </w:pPr>
    </w:p>
    <w:p w14:paraId="4E34D23E">
      <w:pPr>
        <w:pStyle w:val="12"/>
        <w:ind w:left="0" w:leftChars="0" w:firstLine="0" w:firstLineChars="0"/>
        <w:rPr>
          <w:rFonts w:hint="eastAsia" w:ascii="宋体" w:hAnsi="宋体" w:eastAsia="宋体" w:cs="Times New Roman"/>
          <w:b/>
          <w:bCs/>
          <w:sz w:val="24"/>
          <w:lang w:eastAsia="zh-CN"/>
        </w:rPr>
        <w:sectPr>
          <w:footerReference r:id="rId3" w:type="default"/>
          <w:pgSz w:w="11906" w:h="16838"/>
          <w:pgMar w:top="1304" w:right="1474" w:bottom="1701" w:left="1587" w:header="851" w:footer="1417" w:gutter="0"/>
          <w:cols w:space="0" w:num="1"/>
          <w:docGrid w:type="lines" w:linePitch="312" w:charSpace="0"/>
        </w:sectPr>
      </w:pPr>
    </w:p>
    <w:tbl>
      <w:tblPr>
        <w:tblStyle w:val="13"/>
        <w:tblW w:w="14387" w:type="dxa"/>
        <w:tblInd w:w="-35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7"/>
        <w:gridCol w:w="2893"/>
        <w:gridCol w:w="6227"/>
        <w:gridCol w:w="2120"/>
        <w:gridCol w:w="2440"/>
      </w:tblGrid>
      <w:tr w14:paraId="066DF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8" w:hRule="atLeast"/>
        </w:trPr>
        <w:tc>
          <w:tcPr>
            <w:tcW w:w="14387" w:type="dxa"/>
            <w:gridSpan w:val="5"/>
            <w:tcBorders>
              <w:top w:val="nil"/>
              <w:left w:val="nil"/>
              <w:bottom w:val="nil"/>
              <w:right w:val="nil"/>
            </w:tcBorders>
            <w:shd w:val="clear" w:color="auto" w:fill="auto"/>
            <w:noWrap/>
            <w:vAlign w:val="center"/>
          </w:tcPr>
          <w:p w14:paraId="7E620ADC">
            <w:pPr>
              <w:keepNext w:val="0"/>
              <w:keepLines w:val="0"/>
              <w:widowControl/>
              <w:suppressLineNumbers w:val="0"/>
              <w:jc w:val="center"/>
              <w:textAlignment w:val="center"/>
              <w:rPr>
                <w:rFonts w:ascii="仿宋" w:hAnsi="仿宋" w:eastAsia="仿宋" w:cs="仿宋"/>
                <w:b/>
                <w:bCs/>
                <w:i w:val="0"/>
                <w:iCs w:val="0"/>
                <w:color w:val="000000"/>
                <w:sz w:val="40"/>
                <w:szCs w:val="40"/>
                <w:u w:val="none"/>
              </w:rPr>
            </w:pPr>
            <w:r>
              <w:rPr>
                <w:rFonts w:hint="eastAsia" w:ascii="仿宋" w:hAnsi="仿宋" w:eastAsia="仿宋" w:cs="仿宋"/>
                <w:b/>
                <w:bCs/>
                <w:i w:val="0"/>
                <w:iCs w:val="0"/>
                <w:color w:val="000000"/>
                <w:kern w:val="0"/>
                <w:sz w:val="40"/>
                <w:szCs w:val="40"/>
                <w:u w:val="none"/>
                <w:lang w:val="en-US" w:eastAsia="zh-CN" w:bidi="ar"/>
              </w:rPr>
              <w:t>资格评审记录表</w:t>
            </w:r>
          </w:p>
        </w:tc>
      </w:tr>
      <w:tr w14:paraId="6CB0F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4387" w:type="dxa"/>
            <w:gridSpan w:val="5"/>
            <w:tcBorders>
              <w:top w:val="nil"/>
              <w:left w:val="nil"/>
              <w:bottom w:val="single" w:color="auto" w:sz="4" w:space="0"/>
              <w:right w:val="nil"/>
            </w:tcBorders>
            <w:shd w:val="clear" w:color="auto" w:fill="auto"/>
            <w:noWrap/>
            <w:vAlign w:val="center"/>
          </w:tcPr>
          <w:p w14:paraId="78D23F0B">
            <w:pPr>
              <w:keepNext w:val="0"/>
              <w:keepLines w:val="0"/>
              <w:widowControl/>
              <w:suppressLineNumbers w:val="0"/>
              <w:ind w:firstLine="663" w:firstLineChars="300"/>
              <w:jc w:val="left"/>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响应单位：</w:t>
            </w:r>
          </w:p>
        </w:tc>
      </w:tr>
      <w:tr w14:paraId="328063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2" w:hRule="atLeast"/>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1A31D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28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B4608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审查项目</w:t>
            </w:r>
          </w:p>
        </w:tc>
        <w:tc>
          <w:tcPr>
            <w:tcW w:w="622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1B839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审查要求与标准</w:t>
            </w:r>
          </w:p>
        </w:tc>
        <w:tc>
          <w:tcPr>
            <w:tcW w:w="21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6A48F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是否提交/符合</w:t>
            </w:r>
          </w:p>
        </w:tc>
        <w:tc>
          <w:tcPr>
            <w:tcW w:w="2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265A6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4E89E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D30A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8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739F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营业执照</w:t>
            </w:r>
          </w:p>
        </w:tc>
        <w:tc>
          <w:tcPr>
            <w:tcW w:w="6227" w:type="dxa"/>
            <w:tcBorders>
              <w:top w:val="single" w:color="auto" w:sz="4" w:space="0"/>
              <w:left w:val="single" w:color="auto" w:sz="4" w:space="0"/>
              <w:bottom w:val="single" w:color="auto" w:sz="4" w:space="0"/>
              <w:right w:val="single" w:color="auto" w:sz="4" w:space="0"/>
            </w:tcBorders>
            <w:shd w:val="clear" w:color="auto" w:fill="auto"/>
            <w:vAlign w:val="center"/>
          </w:tcPr>
          <w:p w14:paraId="558FD36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1.已提交清晰复印件并加盖公章。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2.经营范围包含“门窗加工、安装施工等营业范围”等相关内容。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标准：任一项不符合即为不合格。</w:t>
            </w:r>
          </w:p>
        </w:tc>
        <w:tc>
          <w:tcPr>
            <w:tcW w:w="21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B614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□是 □否</w:t>
            </w:r>
          </w:p>
        </w:tc>
        <w:tc>
          <w:tcPr>
            <w:tcW w:w="2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F53D47">
            <w:pPr>
              <w:jc w:val="center"/>
              <w:rPr>
                <w:rFonts w:hint="eastAsia" w:ascii="宋体" w:hAnsi="宋体" w:eastAsia="宋体" w:cs="宋体"/>
                <w:i w:val="0"/>
                <w:iCs w:val="0"/>
                <w:color w:val="000000"/>
                <w:sz w:val="22"/>
                <w:szCs w:val="22"/>
                <w:u w:val="none"/>
              </w:rPr>
            </w:pPr>
          </w:p>
        </w:tc>
      </w:tr>
      <w:tr w14:paraId="1604A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41C8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8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6FF9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安全生产许可证</w:t>
            </w:r>
          </w:p>
        </w:tc>
        <w:tc>
          <w:tcPr>
            <w:tcW w:w="6227" w:type="dxa"/>
            <w:tcBorders>
              <w:top w:val="single" w:color="auto" w:sz="4" w:space="0"/>
              <w:left w:val="single" w:color="auto" w:sz="4" w:space="0"/>
              <w:bottom w:val="single" w:color="auto" w:sz="4" w:space="0"/>
              <w:right w:val="single" w:color="auto" w:sz="4" w:space="0"/>
            </w:tcBorders>
            <w:shd w:val="clear" w:color="auto" w:fill="auto"/>
            <w:vAlign w:val="center"/>
          </w:tcPr>
          <w:p w14:paraId="4850009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1.已提交清晰复印件并加盖公章。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2.证书在有效期内。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标准：任一项不符合即为不合格。</w:t>
            </w:r>
          </w:p>
        </w:tc>
        <w:tc>
          <w:tcPr>
            <w:tcW w:w="21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C590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□是 □否</w:t>
            </w:r>
          </w:p>
        </w:tc>
        <w:tc>
          <w:tcPr>
            <w:tcW w:w="2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BEB14B">
            <w:pPr>
              <w:jc w:val="center"/>
              <w:rPr>
                <w:rFonts w:hint="eastAsia" w:ascii="宋体" w:hAnsi="宋体" w:eastAsia="宋体" w:cs="宋体"/>
                <w:i w:val="0"/>
                <w:iCs w:val="0"/>
                <w:color w:val="000000"/>
                <w:sz w:val="22"/>
                <w:szCs w:val="22"/>
                <w:u w:val="none"/>
              </w:rPr>
            </w:pPr>
          </w:p>
        </w:tc>
      </w:tr>
      <w:tr w14:paraId="0F0D1B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E59E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8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24A4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类似业绩证明</w:t>
            </w:r>
          </w:p>
        </w:tc>
        <w:tc>
          <w:tcPr>
            <w:tcW w:w="6227" w:type="dxa"/>
            <w:tcBorders>
              <w:top w:val="single" w:color="auto" w:sz="4" w:space="0"/>
              <w:left w:val="single" w:color="auto" w:sz="4" w:space="0"/>
              <w:bottom w:val="single" w:color="auto" w:sz="4" w:space="0"/>
              <w:right w:val="single" w:color="auto" w:sz="4" w:space="0"/>
            </w:tcBorders>
            <w:shd w:val="clear" w:color="auto" w:fill="auto"/>
            <w:vAlign w:val="center"/>
          </w:tcPr>
          <w:p w14:paraId="7C7B65C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1.已提交不少于2份的过往合同关键页（至少包含合同封面、工程内容、金额、签字盖章页）。</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2.合同内容须为门窗或栏杆工程。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标准：未提供任何有效业绩即为不合格。</w:t>
            </w:r>
          </w:p>
        </w:tc>
        <w:tc>
          <w:tcPr>
            <w:tcW w:w="21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41D5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□是 □否</w:t>
            </w:r>
          </w:p>
        </w:tc>
        <w:tc>
          <w:tcPr>
            <w:tcW w:w="2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2B8CD7">
            <w:pPr>
              <w:jc w:val="center"/>
              <w:rPr>
                <w:rFonts w:hint="eastAsia" w:ascii="宋体" w:hAnsi="宋体" w:eastAsia="宋体" w:cs="宋体"/>
                <w:i w:val="0"/>
                <w:iCs w:val="0"/>
                <w:color w:val="000000"/>
                <w:sz w:val="22"/>
                <w:szCs w:val="22"/>
                <w:u w:val="none"/>
              </w:rPr>
            </w:pPr>
          </w:p>
        </w:tc>
      </w:tr>
      <w:tr w14:paraId="7CDD6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215B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8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D8D8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承诺函</w:t>
            </w:r>
          </w:p>
        </w:tc>
        <w:tc>
          <w:tcPr>
            <w:tcW w:w="6227" w:type="dxa"/>
            <w:tcBorders>
              <w:top w:val="single" w:color="auto" w:sz="4" w:space="0"/>
              <w:left w:val="single" w:color="auto" w:sz="4" w:space="0"/>
              <w:bottom w:val="single" w:color="auto" w:sz="4" w:space="0"/>
              <w:right w:val="single" w:color="auto" w:sz="4" w:space="0"/>
            </w:tcBorders>
            <w:shd w:val="clear" w:color="auto" w:fill="auto"/>
            <w:vAlign w:val="center"/>
          </w:tcPr>
          <w:p w14:paraId="527A667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1.已按我方提供格式提交原件。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2.已加盖单位公章及法人代表（或授权代表）签字。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标准：未提交或格式不符即为不合格。</w:t>
            </w:r>
          </w:p>
        </w:tc>
        <w:tc>
          <w:tcPr>
            <w:tcW w:w="21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ECDA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□是 □否</w:t>
            </w:r>
          </w:p>
        </w:tc>
        <w:tc>
          <w:tcPr>
            <w:tcW w:w="2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316227">
            <w:pPr>
              <w:jc w:val="center"/>
              <w:rPr>
                <w:rFonts w:hint="eastAsia" w:ascii="宋体" w:hAnsi="宋体" w:eastAsia="宋体" w:cs="宋体"/>
                <w:i w:val="0"/>
                <w:iCs w:val="0"/>
                <w:color w:val="000000"/>
                <w:sz w:val="22"/>
                <w:szCs w:val="22"/>
                <w:u w:val="none"/>
              </w:rPr>
            </w:pPr>
          </w:p>
        </w:tc>
      </w:tr>
      <w:tr w14:paraId="47C971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129E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8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8527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信用中国</w:t>
            </w:r>
          </w:p>
        </w:tc>
        <w:tc>
          <w:tcPr>
            <w:tcW w:w="6227" w:type="dxa"/>
            <w:tcBorders>
              <w:top w:val="single" w:color="auto" w:sz="4" w:space="0"/>
              <w:left w:val="single" w:color="auto" w:sz="4" w:space="0"/>
              <w:bottom w:val="single" w:color="auto" w:sz="4" w:space="0"/>
              <w:right w:val="single" w:color="auto" w:sz="4" w:space="0"/>
            </w:tcBorders>
            <w:shd w:val="clear" w:color="auto" w:fill="auto"/>
            <w:vAlign w:val="center"/>
          </w:tcPr>
          <w:p w14:paraId="5912EE2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1.无行政处罚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2.无黑名单记录</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标准：任一项不符合即为不合格。</w:t>
            </w:r>
          </w:p>
        </w:tc>
        <w:tc>
          <w:tcPr>
            <w:tcW w:w="21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4413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□是 □否</w:t>
            </w:r>
          </w:p>
        </w:tc>
        <w:tc>
          <w:tcPr>
            <w:tcW w:w="2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88AE52">
            <w:pPr>
              <w:jc w:val="center"/>
              <w:rPr>
                <w:rFonts w:hint="eastAsia" w:ascii="宋体" w:hAnsi="宋体" w:eastAsia="宋体" w:cs="宋体"/>
                <w:i w:val="0"/>
                <w:iCs w:val="0"/>
                <w:color w:val="000000"/>
                <w:sz w:val="22"/>
                <w:szCs w:val="22"/>
                <w:u w:val="none"/>
              </w:rPr>
            </w:pPr>
          </w:p>
        </w:tc>
      </w:tr>
      <w:tr w14:paraId="297F5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707"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4CE24B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893"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4A96E2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国家企业信用信息公示系统</w:t>
            </w:r>
          </w:p>
        </w:tc>
        <w:tc>
          <w:tcPr>
            <w:tcW w:w="6227" w:type="dxa"/>
            <w:tcBorders>
              <w:top w:val="single" w:color="auto" w:sz="4" w:space="0"/>
              <w:left w:val="single" w:color="000000" w:sz="4" w:space="0"/>
              <w:bottom w:val="single" w:color="000000" w:sz="4" w:space="0"/>
              <w:right w:val="single" w:color="000000" w:sz="4" w:space="0"/>
            </w:tcBorders>
            <w:shd w:val="clear" w:color="auto" w:fill="auto"/>
            <w:vAlign w:val="center"/>
          </w:tcPr>
          <w:p w14:paraId="09075F6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1.经营状态正常</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2.无行政处罚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3.无严重违法失信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标准：任一项不符合即为不合格。</w:t>
            </w:r>
          </w:p>
        </w:tc>
        <w:tc>
          <w:tcPr>
            <w:tcW w:w="212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15BF09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□是 □否</w:t>
            </w:r>
          </w:p>
        </w:tc>
        <w:tc>
          <w:tcPr>
            <w:tcW w:w="244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61AD7ED6">
            <w:pPr>
              <w:jc w:val="center"/>
              <w:rPr>
                <w:rFonts w:hint="eastAsia" w:ascii="宋体" w:hAnsi="宋体" w:eastAsia="宋体" w:cs="宋体"/>
                <w:i w:val="0"/>
                <w:iCs w:val="0"/>
                <w:color w:val="000000"/>
                <w:sz w:val="22"/>
                <w:szCs w:val="22"/>
                <w:u w:val="none"/>
              </w:rPr>
            </w:pPr>
          </w:p>
        </w:tc>
      </w:tr>
      <w:tr w14:paraId="72370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trPr>
        <w:tc>
          <w:tcPr>
            <w:tcW w:w="14387" w:type="dxa"/>
            <w:gridSpan w:val="5"/>
            <w:tcBorders>
              <w:top w:val="nil"/>
              <w:left w:val="nil"/>
              <w:bottom w:val="nil"/>
              <w:right w:val="nil"/>
            </w:tcBorders>
            <w:shd w:val="clear" w:color="auto" w:fill="auto"/>
            <w:vAlign w:val="center"/>
          </w:tcPr>
          <w:p w14:paraId="52CD54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注：按照招募文件审查要求与标准评定方法进行评审，符合打✓，不符合打×，其中有一项不符合视为不合格。</w:t>
            </w:r>
          </w:p>
        </w:tc>
      </w:tr>
      <w:tr w14:paraId="60CDAB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8" w:hRule="atLeast"/>
        </w:trPr>
        <w:tc>
          <w:tcPr>
            <w:tcW w:w="14387" w:type="dxa"/>
            <w:gridSpan w:val="5"/>
            <w:tcBorders>
              <w:top w:val="nil"/>
              <w:left w:val="nil"/>
              <w:bottom w:val="nil"/>
              <w:right w:val="nil"/>
            </w:tcBorders>
            <w:shd w:val="clear" w:color="auto" w:fill="auto"/>
            <w:vAlign w:val="center"/>
          </w:tcPr>
          <w:p w14:paraId="27CF95FD">
            <w:pPr>
              <w:keepNext w:val="0"/>
              <w:keepLines w:val="0"/>
              <w:widowControl/>
              <w:suppressLineNumbers w:val="0"/>
              <w:ind w:firstLine="2200" w:firstLineChars="100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考察组签字：                                                                    年   月   日</w:t>
            </w:r>
          </w:p>
        </w:tc>
      </w:tr>
    </w:tbl>
    <w:p w14:paraId="3EF65EA3">
      <w:pPr>
        <w:pStyle w:val="12"/>
        <w:spacing w:after="0"/>
        <w:ind w:left="0" w:leftChars="0" w:firstLine="0" w:firstLineChars="0"/>
        <w:rPr>
          <w:rFonts w:hint="eastAsia" w:ascii="宋体" w:hAnsi="宋体" w:eastAsia="宋体" w:cs="Times New Roman"/>
          <w:b/>
          <w:bCs/>
          <w:sz w:val="24"/>
          <w:lang w:eastAsia="zh-CN"/>
        </w:rPr>
      </w:pPr>
    </w:p>
    <w:sectPr>
      <w:pgSz w:w="16838" w:h="11906" w:orient="landscape"/>
      <w:pgMar w:top="624" w:right="1701" w:bottom="1474" w:left="1701" w:header="851" w:footer="1417"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embedRegular r:id="rId1" w:fontKey="{84FEF22B-08F1-445C-92BA-DC657FF9D0F8}"/>
  </w:font>
  <w:font w:name="仿宋">
    <w:panose1 w:val="02010609060101010101"/>
    <w:charset w:val="86"/>
    <w:family w:val="modern"/>
    <w:pitch w:val="default"/>
    <w:sig w:usb0="800002BF" w:usb1="38CF7CFA" w:usb2="00000016" w:usb3="00000000" w:csb0="00040001" w:csb1="00000000"/>
    <w:embedRegular r:id="rId2" w:fontKey="{B9B99315-6AB9-471A-89D8-9C21403D144D}"/>
  </w:font>
  <w:font w:name="Segoe UI">
    <w:panose1 w:val="020B0502040204020203"/>
    <w:charset w:val="00"/>
    <w:family w:val="auto"/>
    <w:pitch w:val="default"/>
    <w:sig w:usb0="E4002EFF" w:usb1="C000E47F" w:usb2="00000009" w:usb3="00000000" w:csb0="200001FF" w:csb1="00000000"/>
    <w:embedRegular r:id="rId3" w:fontKey="{0ED856BC-710A-4D1D-9ED8-A1B3F4FCB30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406E5D">
    <w:pPr>
      <w:pStyle w:val="8"/>
      <w:jc w:val="cente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25965A">
                          <w:pPr>
                            <w:pStyle w:val="8"/>
                            <w:rPr>
                              <w:rFonts w:ascii="Times New Roman" w:hAnsi="Times New Roman" w:cs="Times New Roman"/>
                              <w:sz w:val="28"/>
                              <w:szCs w:val="28"/>
                            </w:rPr>
                          </w:pPr>
                          <w:r>
                            <w:rPr>
                              <w:rFonts w:hint="eastAsia"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27</w:t>
                          </w:r>
                          <w:r>
                            <w:rPr>
                              <w:rFonts w:ascii="Times New Roman" w:hAnsi="Times New Roman" w:cs="Times New Roman"/>
                              <w:sz w:val="28"/>
                              <w:szCs w:val="28"/>
                            </w:rPr>
                            <w:fldChar w:fldCharType="end"/>
                          </w:r>
                          <w:r>
                            <w:rPr>
                              <w:rFonts w:hint="eastAsia"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4D25965A">
                    <w:pPr>
                      <w:pStyle w:val="8"/>
                      <w:rPr>
                        <w:rFonts w:ascii="Times New Roman" w:hAnsi="Times New Roman" w:cs="Times New Roman"/>
                        <w:sz w:val="28"/>
                        <w:szCs w:val="28"/>
                      </w:rPr>
                    </w:pPr>
                    <w:r>
                      <w:rPr>
                        <w:rFonts w:hint="eastAsia"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27</w:t>
                    </w:r>
                    <w:r>
                      <w:rPr>
                        <w:rFonts w:ascii="Times New Roman" w:hAnsi="Times New Roman" w:cs="Times New Roman"/>
                        <w:sz w:val="28"/>
                        <w:szCs w:val="28"/>
                      </w:rPr>
                      <w:fldChar w:fldCharType="end"/>
                    </w:r>
                    <w:r>
                      <w:rPr>
                        <w:rFonts w:hint="eastAsia"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VlZjgxMGM2MTQ5M2I3OTFkOWNlZDdmZTVhNzlmZDkifQ=="/>
  </w:docVars>
  <w:rsids>
    <w:rsidRoot w:val="00DB6253"/>
    <w:rsid w:val="0005151C"/>
    <w:rsid w:val="000532B2"/>
    <w:rsid w:val="00072A82"/>
    <w:rsid w:val="0008141F"/>
    <w:rsid w:val="00091D71"/>
    <w:rsid w:val="000972BF"/>
    <w:rsid w:val="000A002C"/>
    <w:rsid w:val="000A7C5D"/>
    <w:rsid w:val="000B37D0"/>
    <w:rsid w:val="000C7ECE"/>
    <w:rsid w:val="000F4ECC"/>
    <w:rsid w:val="00114BF4"/>
    <w:rsid w:val="00114DE5"/>
    <w:rsid w:val="00134CFD"/>
    <w:rsid w:val="00140DF5"/>
    <w:rsid w:val="00150553"/>
    <w:rsid w:val="001617DE"/>
    <w:rsid w:val="00181C15"/>
    <w:rsid w:val="001842A5"/>
    <w:rsid w:val="001B4487"/>
    <w:rsid w:val="001D1949"/>
    <w:rsid w:val="001D593E"/>
    <w:rsid w:val="001E5C9D"/>
    <w:rsid w:val="001F4325"/>
    <w:rsid w:val="001F7BE7"/>
    <w:rsid w:val="002034C0"/>
    <w:rsid w:val="00234D4F"/>
    <w:rsid w:val="0025277E"/>
    <w:rsid w:val="0026126E"/>
    <w:rsid w:val="002A246E"/>
    <w:rsid w:val="002B249B"/>
    <w:rsid w:val="002C1829"/>
    <w:rsid w:val="002D67C6"/>
    <w:rsid w:val="003023DF"/>
    <w:rsid w:val="00362F87"/>
    <w:rsid w:val="00381979"/>
    <w:rsid w:val="003A651D"/>
    <w:rsid w:val="003C6A86"/>
    <w:rsid w:val="003C736A"/>
    <w:rsid w:val="003D0F60"/>
    <w:rsid w:val="003D23DB"/>
    <w:rsid w:val="003F0506"/>
    <w:rsid w:val="00410A2B"/>
    <w:rsid w:val="00416A57"/>
    <w:rsid w:val="00454D3F"/>
    <w:rsid w:val="004801ED"/>
    <w:rsid w:val="004A4A12"/>
    <w:rsid w:val="004B27DC"/>
    <w:rsid w:val="004C1247"/>
    <w:rsid w:val="004E55F8"/>
    <w:rsid w:val="004F39D1"/>
    <w:rsid w:val="004F3AA4"/>
    <w:rsid w:val="0052483B"/>
    <w:rsid w:val="00546DA0"/>
    <w:rsid w:val="00571F7B"/>
    <w:rsid w:val="00584430"/>
    <w:rsid w:val="005871D5"/>
    <w:rsid w:val="005B3D4A"/>
    <w:rsid w:val="005E17FA"/>
    <w:rsid w:val="005F2FB6"/>
    <w:rsid w:val="00635FCB"/>
    <w:rsid w:val="006468F8"/>
    <w:rsid w:val="00663736"/>
    <w:rsid w:val="006A4E23"/>
    <w:rsid w:val="006B13D5"/>
    <w:rsid w:val="006F4730"/>
    <w:rsid w:val="006F6655"/>
    <w:rsid w:val="00712D9B"/>
    <w:rsid w:val="00791F4D"/>
    <w:rsid w:val="007A07E7"/>
    <w:rsid w:val="007B0667"/>
    <w:rsid w:val="007B21E7"/>
    <w:rsid w:val="007C4486"/>
    <w:rsid w:val="007C7BBB"/>
    <w:rsid w:val="007E02C5"/>
    <w:rsid w:val="007E3F12"/>
    <w:rsid w:val="007F6DAE"/>
    <w:rsid w:val="00804C12"/>
    <w:rsid w:val="00836E38"/>
    <w:rsid w:val="00892579"/>
    <w:rsid w:val="008B6CCB"/>
    <w:rsid w:val="008D04DA"/>
    <w:rsid w:val="008D6D3E"/>
    <w:rsid w:val="008E097D"/>
    <w:rsid w:val="008E507B"/>
    <w:rsid w:val="008F32A7"/>
    <w:rsid w:val="00917D52"/>
    <w:rsid w:val="00947B50"/>
    <w:rsid w:val="00952911"/>
    <w:rsid w:val="00993424"/>
    <w:rsid w:val="009A0DB0"/>
    <w:rsid w:val="009B7F42"/>
    <w:rsid w:val="00A02818"/>
    <w:rsid w:val="00A130B7"/>
    <w:rsid w:val="00A16180"/>
    <w:rsid w:val="00A37BC1"/>
    <w:rsid w:val="00A533E5"/>
    <w:rsid w:val="00A630F7"/>
    <w:rsid w:val="00A83EAD"/>
    <w:rsid w:val="00AA4AA3"/>
    <w:rsid w:val="00AB4CEE"/>
    <w:rsid w:val="00AC437B"/>
    <w:rsid w:val="00B061E0"/>
    <w:rsid w:val="00B113BF"/>
    <w:rsid w:val="00B20451"/>
    <w:rsid w:val="00B31E12"/>
    <w:rsid w:val="00B502FC"/>
    <w:rsid w:val="00B624FD"/>
    <w:rsid w:val="00B8652D"/>
    <w:rsid w:val="00BA41DC"/>
    <w:rsid w:val="00C61559"/>
    <w:rsid w:val="00C7590E"/>
    <w:rsid w:val="00C83766"/>
    <w:rsid w:val="00CD3CF4"/>
    <w:rsid w:val="00D35DA6"/>
    <w:rsid w:val="00D473E8"/>
    <w:rsid w:val="00D80E5A"/>
    <w:rsid w:val="00DA4A30"/>
    <w:rsid w:val="00DA61BB"/>
    <w:rsid w:val="00DB6253"/>
    <w:rsid w:val="00DF4FC2"/>
    <w:rsid w:val="00E264A4"/>
    <w:rsid w:val="00E269E8"/>
    <w:rsid w:val="00E43FDF"/>
    <w:rsid w:val="00E81C0C"/>
    <w:rsid w:val="00E90EA0"/>
    <w:rsid w:val="00EC7142"/>
    <w:rsid w:val="00EF1F9E"/>
    <w:rsid w:val="00F11417"/>
    <w:rsid w:val="00F33CCD"/>
    <w:rsid w:val="00F42935"/>
    <w:rsid w:val="00F45F09"/>
    <w:rsid w:val="00F727A7"/>
    <w:rsid w:val="00FA06D0"/>
    <w:rsid w:val="00FC0746"/>
    <w:rsid w:val="01763444"/>
    <w:rsid w:val="01894F4B"/>
    <w:rsid w:val="01E47F91"/>
    <w:rsid w:val="020B7AB8"/>
    <w:rsid w:val="02322A46"/>
    <w:rsid w:val="025F4662"/>
    <w:rsid w:val="027D6179"/>
    <w:rsid w:val="028916DF"/>
    <w:rsid w:val="02924A37"/>
    <w:rsid w:val="02DB65D8"/>
    <w:rsid w:val="034A70C0"/>
    <w:rsid w:val="03DC26E0"/>
    <w:rsid w:val="04221624"/>
    <w:rsid w:val="04473600"/>
    <w:rsid w:val="049A7BD3"/>
    <w:rsid w:val="049B4E0A"/>
    <w:rsid w:val="04BC3FEE"/>
    <w:rsid w:val="051E56E5"/>
    <w:rsid w:val="054C6E6C"/>
    <w:rsid w:val="05C14AFC"/>
    <w:rsid w:val="06A76C94"/>
    <w:rsid w:val="06D4245F"/>
    <w:rsid w:val="07640BC6"/>
    <w:rsid w:val="07791A0F"/>
    <w:rsid w:val="078057A6"/>
    <w:rsid w:val="07F85880"/>
    <w:rsid w:val="085966AC"/>
    <w:rsid w:val="08651B9C"/>
    <w:rsid w:val="08EB4EA1"/>
    <w:rsid w:val="09072AC2"/>
    <w:rsid w:val="096959B9"/>
    <w:rsid w:val="0A613EBC"/>
    <w:rsid w:val="0AD20AD7"/>
    <w:rsid w:val="0B224DC6"/>
    <w:rsid w:val="0B2D01E5"/>
    <w:rsid w:val="0B3A7208"/>
    <w:rsid w:val="0B5111E3"/>
    <w:rsid w:val="0BA34E43"/>
    <w:rsid w:val="0BFB44CB"/>
    <w:rsid w:val="0C7C4062"/>
    <w:rsid w:val="0DB60C93"/>
    <w:rsid w:val="0E026A6B"/>
    <w:rsid w:val="0E281CBB"/>
    <w:rsid w:val="0E694AAC"/>
    <w:rsid w:val="0EA27C63"/>
    <w:rsid w:val="0EA82958"/>
    <w:rsid w:val="0EAF3E99"/>
    <w:rsid w:val="10101BC5"/>
    <w:rsid w:val="10207B26"/>
    <w:rsid w:val="10294501"/>
    <w:rsid w:val="1076384D"/>
    <w:rsid w:val="10DD1AF8"/>
    <w:rsid w:val="118C2F9A"/>
    <w:rsid w:val="11C10E95"/>
    <w:rsid w:val="120128B2"/>
    <w:rsid w:val="120866C3"/>
    <w:rsid w:val="12285FA2"/>
    <w:rsid w:val="12AC52FC"/>
    <w:rsid w:val="12AD5F4E"/>
    <w:rsid w:val="1363778B"/>
    <w:rsid w:val="15344C9F"/>
    <w:rsid w:val="155D441D"/>
    <w:rsid w:val="15730E65"/>
    <w:rsid w:val="158E5532"/>
    <w:rsid w:val="15F93CD3"/>
    <w:rsid w:val="16573B76"/>
    <w:rsid w:val="165C4E4A"/>
    <w:rsid w:val="167C0AF5"/>
    <w:rsid w:val="16AD19E8"/>
    <w:rsid w:val="16E11200"/>
    <w:rsid w:val="174E1654"/>
    <w:rsid w:val="1760726C"/>
    <w:rsid w:val="17C97413"/>
    <w:rsid w:val="185673A9"/>
    <w:rsid w:val="197E68CC"/>
    <w:rsid w:val="19A14F7B"/>
    <w:rsid w:val="1A3241E9"/>
    <w:rsid w:val="1A3E6EEF"/>
    <w:rsid w:val="1AA54E69"/>
    <w:rsid w:val="1ACF23C4"/>
    <w:rsid w:val="1B5A53BC"/>
    <w:rsid w:val="1B70791A"/>
    <w:rsid w:val="1BA27567"/>
    <w:rsid w:val="1BA92BF1"/>
    <w:rsid w:val="1DF72230"/>
    <w:rsid w:val="1E062EC0"/>
    <w:rsid w:val="1E2C3E1B"/>
    <w:rsid w:val="1E2E1F24"/>
    <w:rsid w:val="1E5103AA"/>
    <w:rsid w:val="1E811D4E"/>
    <w:rsid w:val="1E923E6B"/>
    <w:rsid w:val="1EE426D1"/>
    <w:rsid w:val="1F004B56"/>
    <w:rsid w:val="1F3579B8"/>
    <w:rsid w:val="1F906AB1"/>
    <w:rsid w:val="1FF13E14"/>
    <w:rsid w:val="1FFB37C4"/>
    <w:rsid w:val="20796DDF"/>
    <w:rsid w:val="20A025BE"/>
    <w:rsid w:val="20A84649"/>
    <w:rsid w:val="21464C7D"/>
    <w:rsid w:val="215D3905"/>
    <w:rsid w:val="216576AA"/>
    <w:rsid w:val="216C7AA2"/>
    <w:rsid w:val="217659C1"/>
    <w:rsid w:val="21991F5A"/>
    <w:rsid w:val="22125D1B"/>
    <w:rsid w:val="223E7449"/>
    <w:rsid w:val="22835CF3"/>
    <w:rsid w:val="22862C00"/>
    <w:rsid w:val="22934188"/>
    <w:rsid w:val="23744122"/>
    <w:rsid w:val="237F470C"/>
    <w:rsid w:val="238735C1"/>
    <w:rsid w:val="24232A58"/>
    <w:rsid w:val="243D759E"/>
    <w:rsid w:val="24D661A1"/>
    <w:rsid w:val="25FE5B66"/>
    <w:rsid w:val="2667737B"/>
    <w:rsid w:val="27283097"/>
    <w:rsid w:val="275027BD"/>
    <w:rsid w:val="27520B25"/>
    <w:rsid w:val="278C08C6"/>
    <w:rsid w:val="27A87513"/>
    <w:rsid w:val="27AC6A00"/>
    <w:rsid w:val="27CA4590"/>
    <w:rsid w:val="27F7272E"/>
    <w:rsid w:val="286363AA"/>
    <w:rsid w:val="28A16ED3"/>
    <w:rsid w:val="29061627"/>
    <w:rsid w:val="295126A7"/>
    <w:rsid w:val="2A9F38E6"/>
    <w:rsid w:val="2ACD7EA9"/>
    <w:rsid w:val="2B2F7CBC"/>
    <w:rsid w:val="2B3F0F62"/>
    <w:rsid w:val="2B425397"/>
    <w:rsid w:val="2BAC5D73"/>
    <w:rsid w:val="2C2D3818"/>
    <w:rsid w:val="2C5F157F"/>
    <w:rsid w:val="2C752176"/>
    <w:rsid w:val="2CAB6572"/>
    <w:rsid w:val="2CF34015"/>
    <w:rsid w:val="2D1D74ED"/>
    <w:rsid w:val="2D6F7187"/>
    <w:rsid w:val="2DDF3A3D"/>
    <w:rsid w:val="2E4C5B04"/>
    <w:rsid w:val="2E7F1A64"/>
    <w:rsid w:val="2ED0524D"/>
    <w:rsid w:val="2F8D29D8"/>
    <w:rsid w:val="30422D49"/>
    <w:rsid w:val="304F5466"/>
    <w:rsid w:val="307D0225"/>
    <w:rsid w:val="30B04157"/>
    <w:rsid w:val="30F5293C"/>
    <w:rsid w:val="31215E6C"/>
    <w:rsid w:val="31795519"/>
    <w:rsid w:val="31EE13DB"/>
    <w:rsid w:val="32076153"/>
    <w:rsid w:val="325057C9"/>
    <w:rsid w:val="32744DC0"/>
    <w:rsid w:val="327936E6"/>
    <w:rsid w:val="32D8387B"/>
    <w:rsid w:val="331854C1"/>
    <w:rsid w:val="33521928"/>
    <w:rsid w:val="33542B3B"/>
    <w:rsid w:val="33641229"/>
    <w:rsid w:val="33A5391C"/>
    <w:rsid w:val="35151DC2"/>
    <w:rsid w:val="3522586C"/>
    <w:rsid w:val="35327C22"/>
    <w:rsid w:val="356470DA"/>
    <w:rsid w:val="35726953"/>
    <w:rsid w:val="358B48FF"/>
    <w:rsid w:val="359336F3"/>
    <w:rsid w:val="359A279A"/>
    <w:rsid w:val="35B30EB8"/>
    <w:rsid w:val="36297806"/>
    <w:rsid w:val="369206BB"/>
    <w:rsid w:val="36AD060C"/>
    <w:rsid w:val="36B6623F"/>
    <w:rsid w:val="37320946"/>
    <w:rsid w:val="37520C7C"/>
    <w:rsid w:val="37562B89"/>
    <w:rsid w:val="378C167F"/>
    <w:rsid w:val="37B911D5"/>
    <w:rsid w:val="394E6C03"/>
    <w:rsid w:val="395876DB"/>
    <w:rsid w:val="3968161F"/>
    <w:rsid w:val="39875C71"/>
    <w:rsid w:val="3A920D71"/>
    <w:rsid w:val="3AE04B94"/>
    <w:rsid w:val="3B085F24"/>
    <w:rsid w:val="3BB73506"/>
    <w:rsid w:val="3C251345"/>
    <w:rsid w:val="3CC3324D"/>
    <w:rsid w:val="3D6469F5"/>
    <w:rsid w:val="3D966C32"/>
    <w:rsid w:val="3DC079A3"/>
    <w:rsid w:val="3E546854"/>
    <w:rsid w:val="3EDE5FFE"/>
    <w:rsid w:val="404E1D15"/>
    <w:rsid w:val="405369AF"/>
    <w:rsid w:val="412F2E76"/>
    <w:rsid w:val="413B5221"/>
    <w:rsid w:val="41A25183"/>
    <w:rsid w:val="41F670B8"/>
    <w:rsid w:val="42310E70"/>
    <w:rsid w:val="423C44E6"/>
    <w:rsid w:val="42405E81"/>
    <w:rsid w:val="42506EDE"/>
    <w:rsid w:val="42823479"/>
    <w:rsid w:val="428578B8"/>
    <w:rsid w:val="43A2298E"/>
    <w:rsid w:val="43AD2778"/>
    <w:rsid w:val="43EE0F7F"/>
    <w:rsid w:val="44A45929"/>
    <w:rsid w:val="45126D36"/>
    <w:rsid w:val="453C5E98"/>
    <w:rsid w:val="45450EC4"/>
    <w:rsid w:val="45581EB5"/>
    <w:rsid w:val="45663DEB"/>
    <w:rsid w:val="45B257E8"/>
    <w:rsid w:val="46491294"/>
    <w:rsid w:val="470219EF"/>
    <w:rsid w:val="472F645A"/>
    <w:rsid w:val="47AE5C43"/>
    <w:rsid w:val="488241D3"/>
    <w:rsid w:val="4902013C"/>
    <w:rsid w:val="49FF269C"/>
    <w:rsid w:val="4A60644D"/>
    <w:rsid w:val="4A8B4F6F"/>
    <w:rsid w:val="4AE50AC9"/>
    <w:rsid w:val="4AEA6060"/>
    <w:rsid w:val="4B35552D"/>
    <w:rsid w:val="4B4E2A92"/>
    <w:rsid w:val="4BCC1752"/>
    <w:rsid w:val="4C312198"/>
    <w:rsid w:val="4C3B0B5D"/>
    <w:rsid w:val="4C3B68AB"/>
    <w:rsid w:val="4C54772E"/>
    <w:rsid w:val="4CBA6DE4"/>
    <w:rsid w:val="4D1B65FF"/>
    <w:rsid w:val="4D534390"/>
    <w:rsid w:val="4D5C432D"/>
    <w:rsid w:val="4D616D01"/>
    <w:rsid w:val="4D622825"/>
    <w:rsid w:val="4D650735"/>
    <w:rsid w:val="4D812CAB"/>
    <w:rsid w:val="4E212E6E"/>
    <w:rsid w:val="4E8073BD"/>
    <w:rsid w:val="4EC2357B"/>
    <w:rsid w:val="4F310F28"/>
    <w:rsid w:val="4F3D3F72"/>
    <w:rsid w:val="4F8E16AF"/>
    <w:rsid w:val="4F98252E"/>
    <w:rsid w:val="4FF27E90"/>
    <w:rsid w:val="506A5C79"/>
    <w:rsid w:val="506F626F"/>
    <w:rsid w:val="507B60D8"/>
    <w:rsid w:val="50A61232"/>
    <w:rsid w:val="51313443"/>
    <w:rsid w:val="51385D77"/>
    <w:rsid w:val="51B647D4"/>
    <w:rsid w:val="522E0D9C"/>
    <w:rsid w:val="526A6404"/>
    <w:rsid w:val="52BC6534"/>
    <w:rsid w:val="52E71802"/>
    <w:rsid w:val="52F820A8"/>
    <w:rsid w:val="53131801"/>
    <w:rsid w:val="535C694F"/>
    <w:rsid w:val="539A3DA7"/>
    <w:rsid w:val="5408368F"/>
    <w:rsid w:val="541A26B4"/>
    <w:rsid w:val="543D185B"/>
    <w:rsid w:val="54574CC0"/>
    <w:rsid w:val="546D3F89"/>
    <w:rsid w:val="54FF12D2"/>
    <w:rsid w:val="55307D12"/>
    <w:rsid w:val="55761D6F"/>
    <w:rsid w:val="55985036"/>
    <w:rsid w:val="56004E99"/>
    <w:rsid w:val="56A6743C"/>
    <w:rsid w:val="56BA5480"/>
    <w:rsid w:val="56DD6C8E"/>
    <w:rsid w:val="56E9366F"/>
    <w:rsid w:val="57346C7D"/>
    <w:rsid w:val="585A41E8"/>
    <w:rsid w:val="58B86D4D"/>
    <w:rsid w:val="58BC728D"/>
    <w:rsid w:val="59284923"/>
    <w:rsid w:val="59D10352"/>
    <w:rsid w:val="5A1C6BFB"/>
    <w:rsid w:val="5B784AF2"/>
    <w:rsid w:val="5B965141"/>
    <w:rsid w:val="5BEC1A74"/>
    <w:rsid w:val="5BF62AB6"/>
    <w:rsid w:val="5C324ACD"/>
    <w:rsid w:val="5CAD2AA4"/>
    <w:rsid w:val="5D220157"/>
    <w:rsid w:val="5D8D6CB1"/>
    <w:rsid w:val="5DA12EF6"/>
    <w:rsid w:val="5E541D16"/>
    <w:rsid w:val="5EA04BB9"/>
    <w:rsid w:val="5F086F8A"/>
    <w:rsid w:val="5F0B767B"/>
    <w:rsid w:val="5F593A88"/>
    <w:rsid w:val="5F5B595F"/>
    <w:rsid w:val="5FB616C0"/>
    <w:rsid w:val="5FD44EBD"/>
    <w:rsid w:val="602B470B"/>
    <w:rsid w:val="6060712F"/>
    <w:rsid w:val="60706C22"/>
    <w:rsid w:val="60B06B57"/>
    <w:rsid w:val="60E7786D"/>
    <w:rsid w:val="61315E29"/>
    <w:rsid w:val="616558F0"/>
    <w:rsid w:val="61E1261C"/>
    <w:rsid w:val="61E51CA4"/>
    <w:rsid w:val="639F3A33"/>
    <w:rsid w:val="63B23767"/>
    <w:rsid w:val="63E90858"/>
    <w:rsid w:val="63F57AF7"/>
    <w:rsid w:val="63F90AA4"/>
    <w:rsid w:val="64087C2A"/>
    <w:rsid w:val="642E7CB4"/>
    <w:rsid w:val="64587CBF"/>
    <w:rsid w:val="65974075"/>
    <w:rsid w:val="65C07AA4"/>
    <w:rsid w:val="66767BF2"/>
    <w:rsid w:val="6769558E"/>
    <w:rsid w:val="67B5430A"/>
    <w:rsid w:val="67C65A33"/>
    <w:rsid w:val="67D340C7"/>
    <w:rsid w:val="6837248C"/>
    <w:rsid w:val="689439D7"/>
    <w:rsid w:val="68956EE8"/>
    <w:rsid w:val="69076303"/>
    <w:rsid w:val="69C064B2"/>
    <w:rsid w:val="69D24C84"/>
    <w:rsid w:val="69FB7605"/>
    <w:rsid w:val="69FC1D65"/>
    <w:rsid w:val="6A541ED6"/>
    <w:rsid w:val="6AD40467"/>
    <w:rsid w:val="6B1C57EC"/>
    <w:rsid w:val="6B936BC0"/>
    <w:rsid w:val="6BA70CE1"/>
    <w:rsid w:val="6BF15048"/>
    <w:rsid w:val="6C360CAD"/>
    <w:rsid w:val="6CAB3AAB"/>
    <w:rsid w:val="6CEA036F"/>
    <w:rsid w:val="6D543AE1"/>
    <w:rsid w:val="6DAD31F1"/>
    <w:rsid w:val="6DB342B1"/>
    <w:rsid w:val="6DCC53C2"/>
    <w:rsid w:val="6DD0636E"/>
    <w:rsid w:val="6E472BC4"/>
    <w:rsid w:val="6EAE5472"/>
    <w:rsid w:val="6EBE6C11"/>
    <w:rsid w:val="6F040050"/>
    <w:rsid w:val="70922AB4"/>
    <w:rsid w:val="70FC24C5"/>
    <w:rsid w:val="71B4671E"/>
    <w:rsid w:val="725D51E5"/>
    <w:rsid w:val="72E17BC5"/>
    <w:rsid w:val="73105115"/>
    <w:rsid w:val="7311247B"/>
    <w:rsid w:val="73925D6A"/>
    <w:rsid w:val="739E1D30"/>
    <w:rsid w:val="73BC76C5"/>
    <w:rsid w:val="747C7660"/>
    <w:rsid w:val="74E50648"/>
    <w:rsid w:val="74ED2456"/>
    <w:rsid w:val="75B90A32"/>
    <w:rsid w:val="7615375C"/>
    <w:rsid w:val="766034F6"/>
    <w:rsid w:val="767D354C"/>
    <w:rsid w:val="7758383C"/>
    <w:rsid w:val="776E4C01"/>
    <w:rsid w:val="78143874"/>
    <w:rsid w:val="783F628E"/>
    <w:rsid w:val="786450E8"/>
    <w:rsid w:val="78CF04BF"/>
    <w:rsid w:val="78D54EC4"/>
    <w:rsid w:val="78DA4627"/>
    <w:rsid w:val="790742C7"/>
    <w:rsid w:val="790B23B3"/>
    <w:rsid w:val="796F0C6A"/>
    <w:rsid w:val="79771C6D"/>
    <w:rsid w:val="79CD2C51"/>
    <w:rsid w:val="79FA5A10"/>
    <w:rsid w:val="7A524336"/>
    <w:rsid w:val="7A884324"/>
    <w:rsid w:val="7AAA4DDC"/>
    <w:rsid w:val="7B5E7074"/>
    <w:rsid w:val="7BA94FF8"/>
    <w:rsid w:val="7C016BE2"/>
    <w:rsid w:val="7C222F2E"/>
    <w:rsid w:val="7C5E2BFE"/>
    <w:rsid w:val="7C9A2A7F"/>
    <w:rsid w:val="7CF01B7E"/>
    <w:rsid w:val="7D7735A8"/>
    <w:rsid w:val="7F001071"/>
    <w:rsid w:val="7F636B57"/>
    <w:rsid w:val="7F6864C3"/>
    <w:rsid w:val="7F777E55"/>
    <w:rsid w:val="7FF336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snapToGrid w:val="0"/>
      <w:spacing w:line="600" w:lineRule="exact"/>
      <w:contextualSpacing/>
      <w:jc w:val="center"/>
      <w:outlineLvl w:val="0"/>
    </w:pPr>
    <w:rPr>
      <w:rFonts w:ascii="Times New Roman" w:hAnsi="Times New Roman" w:eastAsia="微软雅黑" w:cs="Times New Roman"/>
      <w:sz w:val="44"/>
      <w:szCs w:val="44"/>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customStyle="1" w:styleId="2">
    <w:name w:val="Body Text 21"/>
    <w:basedOn w:val="1"/>
    <w:autoRedefine/>
    <w:qFormat/>
    <w:uiPriority w:val="0"/>
    <w:pPr>
      <w:spacing w:after="120" w:afterLines="0" w:line="480" w:lineRule="auto"/>
    </w:pPr>
  </w:style>
  <w:style w:type="paragraph" w:styleId="5">
    <w:name w:val="annotation text"/>
    <w:basedOn w:val="1"/>
    <w:link w:val="26"/>
    <w:autoRedefine/>
    <w:qFormat/>
    <w:uiPriority w:val="0"/>
    <w:pPr>
      <w:jc w:val="left"/>
    </w:pPr>
  </w:style>
  <w:style w:type="paragraph" w:styleId="6">
    <w:name w:val="Body Text Indent"/>
    <w:basedOn w:val="1"/>
    <w:autoRedefine/>
    <w:qFormat/>
    <w:uiPriority w:val="0"/>
    <w:pPr>
      <w:spacing w:after="120"/>
      <w:ind w:left="420" w:leftChars="200"/>
    </w:pPr>
  </w:style>
  <w:style w:type="paragraph" w:styleId="7">
    <w:name w:val="Balloon Text"/>
    <w:basedOn w:val="1"/>
    <w:link w:val="25"/>
    <w:autoRedefine/>
    <w:qFormat/>
    <w:uiPriority w:val="0"/>
    <w:rPr>
      <w:sz w:val="18"/>
      <w:szCs w:val="18"/>
    </w:rPr>
  </w:style>
  <w:style w:type="paragraph" w:styleId="8">
    <w:name w:val="footer"/>
    <w:basedOn w:val="1"/>
    <w:link w:val="21"/>
    <w:autoRedefine/>
    <w:qFormat/>
    <w:uiPriority w:val="99"/>
    <w:pPr>
      <w:tabs>
        <w:tab w:val="center" w:pos="4153"/>
        <w:tab w:val="right" w:pos="8306"/>
      </w:tabs>
      <w:snapToGrid w:val="0"/>
      <w:jc w:val="left"/>
    </w:pPr>
    <w:rPr>
      <w:sz w:val="18"/>
      <w:szCs w:val="18"/>
    </w:rPr>
  </w:style>
  <w:style w:type="paragraph" w:styleId="9">
    <w:name w:val="header"/>
    <w:basedOn w:val="1"/>
    <w:link w:val="20"/>
    <w:autoRedefine/>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1">
    <w:name w:val="annotation subject"/>
    <w:basedOn w:val="5"/>
    <w:next w:val="5"/>
    <w:link w:val="27"/>
    <w:autoRedefine/>
    <w:qFormat/>
    <w:uiPriority w:val="0"/>
    <w:rPr>
      <w:b/>
      <w:bCs/>
    </w:rPr>
  </w:style>
  <w:style w:type="paragraph" w:styleId="12">
    <w:name w:val="Body Text First Indent 2"/>
    <w:basedOn w:val="6"/>
    <w:link w:val="23"/>
    <w:autoRedefine/>
    <w:qFormat/>
    <w:uiPriority w:val="0"/>
    <w:pPr>
      <w:ind w:firstLine="420" w:firstLineChars="200"/>
    </w:pPr>
  </w:style>
  <w:style w:type="table" w:styleId="14">
    <w:name w:val="Table Grid"/>
    <w:basedOn w:val="13"/>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rPr>
  </w:style>
  <w:style w:type="character" w:styleId="17">
    <w:name w:val="annotation reference"/>
    <w:basedOn w:val="15"/>
    <w:autoRedefine/>
    <w:qFormat/>
    <w:uiPriority w:val="0"/>
    <w:rPr>
      <w:sz w:val="21"/>
      <w:szCs w:val="21"/>
    </w:rPr>
  </w:style>
  <w:style w:type="table" w:customStyle="1" w:styleId="18">
    <w:name w:val="网格型4"/>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9">
    <w:name w:val="p0"/>
    <w:basedOn w:val="1"/>
    <w:autoRedefine/>
    <w:qFormat/>
    <w:uiPriority w:val="0"/>
    <w:pPr>
      <w:spacing w:line="365" w:lineRule="atLeast"/>
      <w:ind w:left="1"/>
      <w:textAlignment w:val="bottom"/>
    </w:pPr>
    <w:rPr>
      <w:sz w:val="20"/>
    </w:rPr>
  </w:style>
  <w:style w:type="character" w:customStyle="1" w:styleId="20">
    <w:name w:val="页眉 字符"/>
    <w:basedOn w:val="15"/>
    <w:link w:val="9"/>
    <w:autoRedefine/>
    <w:qFormat/>
    <w:uiPriority w:val="0"/>
    <w:rPr>
      <w:kern w:val="2"/>
      <w:sz w:val="18"/>
      <w:szCs w:val="18"/>
    </w:rPr>
  </w:style>
  <w:style w:type="character" w:customStyle="1" w:styleId="21">
    <w:name w:val="页脚 字符"/>
    <w:basedOn w:val="15"/>
    <w:link w:val="8"/>
    <w:autoRedefine/>
    <w:qFormat/>
    <w:uiPriority w:val="99"/>
    <w:rPr>
      <w:kern w:val="2"/>
      <w:sz w:val="18"/>
      <w:szCs w:val="18"/>
    </w:rPr>
  </w:style>
  <w:style w:type="paragraph" w:styleId="22">
    <w:name w:val="List Paragraph"/>
    <w:basedOn w:val="1"/>
    <w:autoRedefine/>
    <w:unhideWhenUsed/>
    <w:qFormat/>
    <w:uiPriority w:val="99"/>
    <w:pPr>
      <w:ind w:firstLine="420" w:firstLineChars="200"/>
    </w:pPr>
  </w:style>
  <w:style w:type="character" w:customStyle="1" w:styleId="23">
    <w:name w:val="正文文本首行缩进 2 字符"/>
    <w:basedOn w:val="15"/>
    <w:link w:val="12"/>
    <w:autoRedefine/>
    <w:qFormat/>
    <w:uiPriority w:val="0"/>
    <w:rPr>
      <w:kern w:val="2"/>
      <w:sz w:val="21"/>
      <w:szCs w:val="24"/>
    </w:rPr>
  </w:style>
  <w:style w:type="table" w:customStyle="1" w:styleId="24">
    <w:name w:val="网格型41"/>
    <w:basedOn w:val="13"/>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5">
    <w:name w:val="批注框文本 字符"/>
    <w:basedOn w:val="15"/>
    <w:link w:val="7"/>
    <w:autoRedefine/>
    <w:qFormat/>
    <w:uiPriority w:val="0"/>
    <w:rPr>
      <w:kern w:val="2"/>
      <w:sz w:val="18"/>
      <w:szCs w:val="18"/>
    </w:rPr>
  </w:style>
  <w:style w:type="character" w:customStyle="1" w:styleId="26">
    <w:name w:val="批注文字 字符"/>
    <w:basedOn w:val="15"/>
    <w:link w:val="5"/>
    <w:autoRedefine/>
    <w:qFormat/>
    <w:uiPriority w:val="0"/>
    <w:rPr>
      <w:kern w:val="2"/>
      <w:sz w:val="21"/>
      <w:szCs w:val="24"/>
    </w:rPr>
  </w:style>
  <w:style w:type="character" w:customStyle="1" w:styleId="27">
    <w:name w:val="批注主题 字符"/>
    <w:basedOn w:val="26"/>
    <w:link w:val="11"/>
    <w:autoRedefine/>
    <w:qFormat/>
    <w:uiPriority w:val="0"/>
    <w:rPr>
      <w:b/>
      <w:bCs/>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ntractReview xmlns="http://schemas.wps.cn/vas-ai-hub/contract-review">
  <reviewItems>
    <reviewItem>
      <errorID>f0101b5c-d914-4c78-90c3-391abf093ac3</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725AFE30</paraID>
      <start>12</start>
      <end>13</end>
      <status>unmodified</status>
      <modifiedWord/>
      <trackRevisions>false</trackRevisions>
    </reviewItem>
    <reviewItem>
      <errorID>49403595-ec2d-4c7f-9f65-799bed302408</errorID>
      <errorWord>(</errorWord>
      <group>L1_Format</group>
      <groupName>格式问题</groupName>
      <ability>L2_HalfPunc</ability>
      <abilityName>全半角检查</abilityName>
      <candidateList>
        <item>（</item>
      </candidateList>
      <explain>文本全半角错误。</explain>
      <paraID>4801FE6D</paraID>
      <start>14</start>
      <end>15</end>
      <status>unmodified</status>
      <modifiedWord/>
      <trackRevisions>false</trackRevisions>
    </reviewItem>
    <reviewItem>
      <errorID>2fa51503-ce4c-4727-a7ab-a4f8fc95ccc7</errorID>
      <errorWord>)</errorWord>
      <group>L1_Format</group>
      <groupName>格式问题</groupName>
      <ability>L2_HalfPunc</ability>
      <abilityName>全半角检查</abilityName>
      <candidateList>
        <item>）</item>
      </candidateList>
      <explain>文本全半角错误。</explain>
      <paraID>4801FE6D</paraID>
      <start>16</start>
      <end>17</end>
      <status>unmodified</status>
      <modifiedWord/>
      <trackRevisions>false</trackRevisions>
    </reviewItem>
    <reviewItem>
      <errorID>e0800832-4c2d-4dc3-b57c-ebcf0821c9b7</errorID>
      <errorWord>(</errorWord>
      <group>L1_Format</group>
      <groupName>格式问题</groupName>
      <ability>L2_HalfPunc</ability>
      <abilityName>全半角检查</abilityName>
      <candidateList>
        <item>（</item>
      </candidateList>
      <explain>文本全半角错误。</explain>
      <paraID>4801FE6D</paraID>
      <start>37</start>
      <end>38</end>
      <status>unmodified</status>
      <modifiedWord/>
      <trackRevisions>false</trackRevisions>
    </reviewItem>
    <reviewItem>
      <errorID>76825ff8-6c7f-4aab-8e73-e77bea330722</errorID>
      <errorWord>)</errorWord>
      <group>L1_Format</group>
      <groupName>格式问题</groupName>
      <ability>L2_HalfPunc</ability>
      <abilityName>全半角检查</abilityName>
      <candidateList>
        <item>）</item>
      </candidateList>
      <explain>文本全半角错误。</explain>
      <paraID>4801FE6D</paraID>
      <start>39</start>
      <end>40</end>
      <status>unmodified</status>
      <modifiedWord/>
      <trackRevisions>false</trackRevisions>
    </reviewItem>
    <reviewItem>
      <errorID>f663e38d-28c8-471f-9e16-73d13810c48c</errorID>
      <errorWord>(</errorWord>
      <group>L1_Format</group>
      <groupName>格式问题</groupName>
      <ability>L2_HalfPunc</ability>
      <abilityName>全半角检查</abilityName>
      <candidateList>
        <item>（</item>
      </candidateList>
      <explain>文本全半角错误。</explain>
      <paraID>4801FE6D</paraID>
      <start>66</start>
      <end>67</end>
      <status>unmodified</status>
      <modifiedWord/>
      <trackRevisions>false</trackRevisions>
    </reviewItem>
    <reviewItem>
      <errorID>31070a07-9731-42cb-b764-f983ea90f67b</errorID>
      <errorWord>)</errorWord>
      <group>L1_Format</group>
      <groupName>格式问题</groupName>
      <ability>L2_HalfPunc</ability>
      <abilityName>全半角检查</abilityName>
      <candidateList>
        <item>）</item>
      </candidateList>
      <explain>文本全半角错误。</explain>
      <paraID>4801FE6D</paraID>
      <start>68</start>
      <end>69</end>
      <status>unmodified</status>
      <modifiedWord/>
      <trackRevisions>false</trackRevisions>
    </reviewItem>
    <reviewItem>
      <errorID>86ba280b-f3af-465c-9c59-813e0fa5aecc</errorID>
      <errorWord>至</errorWord>
      <group>L1_Word</group>
      <groupName>字词问题</groupName>
      <ability>L2_Typo</ability>
      <abilityName>字词错误</abilityName>
      <candidateList>
        <item>到</item>
      </candidateList>
      <explain>❶〈动〉达于某一点；到达；达到：～期｜迟～｜火车～站了｜从星期三～星期五。❷〈动〉往：～郊外去｜～群众中去。❸〈动〉用作动词的补语，表示动作有结果：看～｜办得～｜说～一定要做～｜想不～你来了。❹〈形〉周到：想得很～｜有不～的地方请原谅。❺（Dào）〈名〉姓。</explain>
      <paraID>79374935</paraID>
      <start>37</start>
      <end>38</end>
      <status>modified</status>
      <modifiedWord>到</modifiedWord>
      <trackRevisions>false</trackRevisions>
    </reviewItem>
    <reviewItem>
      <errorID>15517821-868e-4f92-83f8-5dbd098a9d1a</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558FD363</paraID>
      <start>30</start>
      <end>33</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80b6e99-bb79-49a4-8262-d42385df1af2}">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1876</Words>
  <Characters>1955</Characters>
  <Lines>11</Lines>
  <Paragraphs>3</Paragraphs>
  <TotalTime>0</TotalTime>
  <ScaleCrop>false</ScaleCrop>
  <LinksUpToDate>false</LinksUpToDate>
  <CharactersWithSpaces>2039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2021-09-12T12:22:00Z</dcterms:created>
  <dc:creator>lenovo</dc:creator>
  <cp:lastModifiedBy>大吉大利</cp:lastModifiedBy>
  <cp:lastPrinted>2022-05-10T01:39:00Z</cp:lastPrinted>
  <dcterms:modified xsi:type="dcterms:W3CDTF">2026-02-12T04:02:34Z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5042357CB6454A09B368B7F2417476D4_13</vt:lpwstr>
  </property>
  <property fmtid="{D5CDD505-2E9C-101B-9397-08002B2CF9AE}" pid="4" name="KSOTemplateDocerSaveRecord">
    <vt:lpwstr>eyJoZGlkIjoiYmE4Yjg2YmQ5YmYzZDZhYjZkNTAxY2QzZWE4ODE3ZDMiLCJ1c2VySWQiOiI0MDgwOTY2NzcifQ==</vt:lpwstr>
  </property>
</Properties>
</file>